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EB5" w:rsidRDefault="00DF13CC">
      <w:pPr>
        <w:suppressAutoHyphens w:val="0"/>
        <w:ind w:firstLine="0"/>
        <w:jc w:val="center"/>
        <w:rPr>
          <w:rFonts w:eastAsia="Calibri"/>
          <w:b/>
          <w:bCs/>
          <w:sz w:val="36"/>
          <w:szCs w:val="36"/>
        </w:rPr>
      </w:pPr>
      <w:r>
        <w:rPr>
          <w:rFonts w:eastAsia="Calibri"/>
          <w:b/>
          <w:bCs/>
          <w:sz w:val="36"/>
          <w:szCs w:val="36"/>
        </w:rPr>
        <w:t>BỘ GIÁO DỤC VÀ ĐÀO TẠO</w:t>
      </w:r>
    </w:p>
    <w:p w:rsidR="00764EB5" w:rsidRDefault="00DF13CC">
      <w:pPr>
        <w:suppressAutoHyphens w:val="0"/>
        <w:ind w:firstLine="0"/>
        <w:jc w:val="center"/>
        <w:rPr>
          <w:rFonts w:eastAsia="Calibri"/>
          <w:b/>
          <w:bCs/>
          <w:sz w:val="36"/>
          <w:szCs w:val="36"/>
        </w:rPr>
      </w:pPr>
      <w:r>
        <w:rPr>
          <w:rFonts w:eastAsia="Calibri"/>
          <w:b/>
          <w:bCs/>
          <w:sz w:val="36"/>
          <w:szCs w:val="36"/>
        </w:rPr>
        <w:t>TRƯỜNG ĐẠI HỌC ĐÔNG ĐÔ</w:t>
      </w:r>
    </w:p>
    <w:p w:rsidR="00764EB5" w:rsidRDefault="00DF13CC">
      <w:pPr>
        <w:suppressAutoHyphens w:val="0"/>
        <w:ind w:firstLine="0"/>
        <w:jc w:val="center"/>
        <w:rPr>
          <w:rFonts w:eastAsia="Calibri"/>
          <w:b/>
          <w:bCs/>
          <w:sz w:val="36"/>
          <w:szCs w:val="36"/>
        </w:rPr>
      </w:pPr>
      <w:r>
        <w:rPr>
          <w:rFonts w:eastAsia="Calibri"/>
          <w:b/>
          <w:bCs/>
          <w:sz w:val="36"/>
          <w:szCs w:val="36"/>
        </w:rPr>
        <w:t>**********</w:t>
      </w:r>
    </w:p>
    <w:p w:rsidR="00764EB5" w:rsidRDefault="00764EB5">
      <w:pPr>
        <w:suppressAutoHyphens w:val="0"/>
        <w:ind w:firstLine="0"/>
        <w:jc w:val="center"/>
        <w:rPr>
          <w:rFonts w:eastAsia="Calibri"/>
          <w:b/>
          <w:bCs/>
          <w:sz w:val="36"/>
          <w:szCs w:val="36"/>
        </w:rPr>
      </w:pPr>
    </w:p>
    <w:p w:rsidR="00764EB5" w:rsidRDefault="00DF13CC">
      <w:pPr>
        <w:suppressAutoHyphens w:val="0"/>
        <w:ind w:firstLine="0"/>
        <w:jc w:val="center"/>
        <w:rPr>
          <w:rFonts w:eastAsia="Calibri"/>
          <w:b/>
          <w:bCs/>
          <w:sz w:val="36"/>
          <w:szCs w:val="36"/>
        </w:rPr>
      </w:pPr>
      <w:r>
        <w:rPr>
          <w:rFonts w:eastAsia="Calibri"/>
          <w:b/>
          <w:bCs/>
          <w:sz w:val="44"/>
          <w:szCs w:val="44"/>
        </w:rPr>
        <w:t>HỒ DUY XUYÊN</w:t>
      </w:r>
    </w:p>
    <w:p w:rsidR="00764EB5" w:rsidRDefault="00764EB5">
      <w:pPr>
        <w:suppressAutoHyphens w:val="0"/>
        <w:ind w:firstLine="0"/>
        <w:jc w:val="center"/>
        <w:rPr>
          <w:rFonts w:eastAsia="Calibri"/>
          <w:b/>
          <w:bCs/>
          <w:sz w:val="36"/>
          <w:szCs w:val="36"/>
        </w:rPr>
      </w:pPr>
    </w:p>
    <w:p w:rsidR="00764EB5" w:rsidRDefault="00764EB5">
      <w:pPr>
        <w:suppressAutoHyphens w:val="0"/>
        <w:ind w:firstLine="0"/>
        <w:jc w:val="center"/>
        <w:rPr>
          <w:rFonts w:eastAsia="Calibri"/>
          <w:b/>
          <w:bCs/>
          <w:sz w:val="36"/>
          <w:szCs w:val="36"/>
        </w:rPr>
      </w:pPr>
    </w:p>
    <w:p w:rsidR="00764EB5" w:rsidRDefault="00DF13CC">
      <w:pPr>
        <w:suppressAutoHyphens w:val="0"/>
        <w:ind w:firstLine="0"/>
        <w:jc w:val="center"/>
        <w:rPr>
          <w:rFonts w:eastAsia="Calibri"/>
          <w:b/>
          <w:bCs/>
          <w:sz w:val="36"/>
          <w:szCs w:val="32"/>
        </w:rPr>
      </w:pPr>
      <w:r>
        <w:rPr>
          <w:rFonts w:eastAsia="Calibri"/>
          <w:b/>
          <w:bCs/>
          <w:sz w:val="32"/>
          <w:szCs w:val="28"/>
        </w:rPr>
        <w:t>NGHIÊN CỨU CÁC YẾU TỐ ẢNH HƯỞNG ĐẾN QUYẾT ĐỊNH MUA CĂN HỘ CHUNG CƯ TẠI VÙNG ĐÔNG NAM BỘ</w:t>
      </w:r>
    </w:p>
    <w:p w:rsidR="00764EB5" w:rsidRDefault="00764EB5">
      <w:pPr>
        <w:suppressAutoHyphens w:val="0"/>
        <w:ind w:firstLine="0"/>
        <w:jc w:val="center"/>
        <w:rPr>
          <w:rFonts w:eastAsia="Calibri"/>
          <w:b/>
          <w:bCs/>
          <w:sz w:val="36"/>
          <w:szCs w:val="32"/>
        </w:rPr>
      </w:pPr>
    </w:p>
    <w:p w:rsidR="00764EB5" w:rsidRDefault="00764EB5">
      <w:pPr>
        <w:suppressAutoHyphens w:val="0"/>
        <w:ind w:firstLine="0"/>
        <w:jc w:val="center"/>
        <w:rPr>
          <w:rFonts w:eastAsia="Calibri"/>
          <w:b/>
          <w:bCs/>
          <w:sz w:val="36"/>
          <w:szCs w:val="32"/>
        </w:rPr>
      </w:pPr>
    </w:p>
    <w:p w:rsidR="00764EB5" w:rsidRDefault="00DF13CC">
      <w:pPr>
        <w:suppressAutoHyphens w:val="0"/>
        <w:ind w:firstLine="0"/>
        <w:jc w:val="center"/>
        <w:rPr>
          <w:rFonts w:eastAsia="Calibri"/>
          <w:b/>
          <w:bCs/>
          <w:sz w:val="36"/>
          <w:szCs w:val="32"/>
        </w:rPr>
      </w:pPr>
      <w:r>
        <w:rPr>
          <w:rFonts w:eastAsia="Calibri"/>
          <w:b/>
          <w:bCs/>
          <w:sz w:val="44"/>
          <w:szCs w:val="40"/>
        </w:rPr>
        <w:t>LUẬN ÁN TIẾN SĨ</w:t>
      </w:r>
    </w:p>
    <w:p w:rsidR="00764EB5" w:rsidRDefault="00DF13CC">
      <w:pPr>
        <w:suppressAutoHyphens w:val="0"/>
        <w:ind w:firstLine="0"/>
        <w:jc w:val="center"/>
        <w:rPr>
          <w:b/>
          <w:bCs/>
          <w:sz w:val="32"/>
          <w:szCs w:val="28"/>
        </w:rPr>
      </w:pPr>
      <w:r>
        <w:rPr>
          <w:b/>
          <w:bCs/>
          <w:sz w:val="32"/>
          <w:szCs w:val="28"/>
        </w:rPr>
        <w:t>NGÀNH QUẢN TRỊ KINH DOANH</w:t>
      </w:r>
    </w:p>
    <w:p w:rsidR="00764EB5" w:rsidRDefault="00764EB5">
      <w:pPr>
        <w:suppressAutoHyphens w:val="0"/>
        <w:jc w:val="center"/>
        <w:rPr>
          <w:sz w:val="28"/>
        </w:rPr>
      </w:pPr>
    </w:p>
    <w:tbl>
      <w:tblPr>
        <w:tblW w:w="0" w:type="auto"/>
        <w:tblLook w:val="04A0" w:firstRow="1" w:lastRow="0" w:firstColumn="1" w:lastColumn="0" w:noHBand="0" w:noVBand="1"/>
      </w:tblPr>
      <w:tblGrid>
        <w:gridCol w:w="3227"/>
        <w:gridCol w:w="5890"/>
      </w:tblGrid>
      <w:tr w:rsidR="00764EB5">
        <w:tc>
          <w:tcPr>
            <w:tcW w:w="3227" w:type="dxa"/>
          </w:tcPr>
          <w:p w:rsidR="00764EB5" w:rsidRDefault="00764EB5">
            <w:pPr>
              <w:suppressAutoHyphens w:val="0"/>
              <w:ind w:firstLine="0"/>
              <w:jc w:val="right"/>
              <w:rPr>
                <w:sz w:val="28"/>
              </w:rPr>
            </w:pPr>
          </w:p>
        </w:tc>
        <w:tc>
          <w:tcPr>
            <w:tcW w:w="5890" w:type="dxa"/>
          </w:tcPr>
          <w:p w:rsidR="00764EB5" w:rsidRDefault="00DF13CC">
            <w:pPr>
              <w:suppressAutoHyphens w:val="0"/>
              <w:ind w:firstLine="0"/>
              <w:rPr>
                <w:b/>
                <w:bCs/>
                <w:sz w:val="28"/>
                <w:szCs w:val="28"/>
              </w:rPr>
            </w:pPr>
            <w:r>
              <w:rPr>
                <w:b/>
                <w:bCs/>
                <w:sz w:val="28"/>
                <w:szCs w:val="28"/>
              </w:rPr>
              <w:t>Người hướng dẫn khoa học:</w:t>
            </w:r>
          </w:p>
        </w:tc>
      </w:tr>
      <w:tr w:rsidR="00764EB5">
        <w:tc>
          <w:tcPr>
            <w:tcW w:w="3227" w:type="dxa"/>
          </w:tcPr>
          <w:p w:rsidR="00764EB5" w:rsidRDefault="00764EB5">
            <w:pPr>
              <w:suppressAutoHyphens w:val="0"/>
              <w:ind w:firstLine="0"/>
              <w:jc w:val="right"/>
              <w:rPr>
                <w:sz w:val="28"/>
              </w:rPr>
            </w:pPr>
          </w:p>
        </w:tc>
        <w:tc>
          <w:tcPr>
            <w:tcW w:w="5890" w:type="dxa"/>
          </w:tcPr>
          <w:p w:rsidR="00764EB5" w:rsidRDefault="00DF13CC" w:rsidP="006A3CC0">
            <w:pPr>
              <w:suppressAutoHyphens w:val="0"/>
              <w:ind w:firstLine="0"/>
              <w:jc w:val="left"/>
              <w:rPr>
                <w:sz w:val="28"/>
                <w:szCs w:val="24"/>
              </w:rPr>
            </w:pPr>
            <w:r>
              <w:rPr>
                <w:sz w:val="28"/>
                <w:szCs w:val="24"/>
              </w:rPr>
              <w:t xml:space="preserve">1. </w:t>
            </w:r>
            <w:r>
              <w:rPr>
                <w:b/>
                <w:bCs/>
                <w:sz w:val="28"/>
                <w:szCs w:val="24"/>
              </w:rPr>
              <w:t>PGS</w:t>
            </w:r>
            <w:r w:rsidR="006A3CC0">
              <w:rPr>
                <w:b/>
                <w:bCs/>
                <w:sz w:val="28"/>
                <w:szCs w:val="24"/>
              </w:rPr>
              <w:t>.</w:t>
            </w:r>
            <w:r>
              <w:rPr>
                <w:b/>
                <w:bCs/>
                <w:sz w:val="28"/>
                <w:szCs w:val="24"/>
              </w:rPr>
              <w:t>TS</w:t>
            </w:r>
            <w:r w:rsidR="006A3CC0">
              <w:rPr>
                <w:b/>
                <w:bCs/>
                <w:sz w:val="28"/>
                <w:szCs w:val="24"/>
              </w:rPr>
              <w:t>.</w:t>
            </w:r>
            <w:r>
              <w:rPr>
                <w:b/>
                <w:bCs/>
                <w:sz w:val="28"/>
                <w:szCs w:val="24"/>
              </w:rPr>
              <w:t xml:space="preserve"> Hoàng Thị Thanh Nhàn</w:t>
            </w:r>
          </w:p>
        </w:tc>
      </w:tr>
      <w:tr w:rsidR="00764EB5">
        <w:tc>
          <w:tcPr>
            <w:tcW w:w="3227" w:type="dxa"/>
          </w:tcPr>
          <w:p w:rsidR="00764EB5" w:rsidRDefault="00764EB5">
            <w:pPr>
              <w:suppressAutoHyphens w:val="0"/>
              <w:ind w:firstLine="0"/>
              <w:jc w:val="center"/>
              <w:rPr>
                <w:sz w:val="28"/>
              </w:rPr>
            </w:pPr>
          </w:p>
        </w:tc>
        <w:tc>
          <w:tcPr>
            <w:tcW w:w="5890" w:type="dxa"/>
          </w:tcPr>
          <w:p w:rsidR="00764EB5" w:rsidRDefault="00DF13CC">
            <w:pPr>
              <w:suppressAutoHyphens w:val="0"/>
              <w:ind w:firstLine="0"/>
              <w:jc w:val="left"/>
              <w:rPr>
                <w:sz w:val="28"/>
                <w:szCs w:val="24"/>
              </w:rPr>
            </w:pPr>
            <w:r>
              <w:rPr>
                <w:sz w:val="28"/>
                <w:szCs w:val="24"/>
              </w:rPr>
              <w:t xml:space="preserve">2. </w:t>
            </w:r>
            <w:r>
              <w:rPr>
                <w:b/>
                <w:bCs/>
                <w:sz w:val="28"/>
                <w:szCs w:val="24"/>
              </w:rPr>
              <w:t>TS</w:t>
            </w:r>
            <w:r w:rsidR="006A3CC0">
              <w:rPr>
                <w:b/>
                <w:bCs/>
                <w:sz w:val="28"/>
                <w:szCs w:val="24"/>
              </w:rPr>
              <w:t>.</w:t>
            </w:r>
            <w:r>
              <w:rPr>
                <w:b/>
                <w:bCs/>
                <w:sz w:val="28"/>
                <w:szCs w:val="24"/>
              </w:rPr>
              <w:t xml:space="preserve"> Ngô Trung Hòa</w:t>
            </w:r>
          </w:p>
        </w:tc>
      </w:tr>
    </w:tbl>
    <w:p w:rsidR="00764EB5" w:rsidRDefault="00764EB5">
      <w:pPr>
        <w:suppressAutoHyphens w:val="0"/>
        <w:jc w:val="center"/>
        <w:rPr>
          <w:sz w:val="28"/>
        </w:rPr>
      </w:pPr>
    </w:p>
    <w:p w:rsidR="00764EB5" w:rsidRDefault="00764EB5">
      <w:pPr>
        <w:suppressAutoHyphens w:val="0"/>
        <w:ind w:firstLine="0"/>
        <w:jc w:val="center"/>
        <w:rPr>
          <w:rFonts w:eastAsia="Calibri"/>
          <w:b/>
          <w:bCs/>
          <w:sz w:val="36"/>
          <w:szCs w:val="32"/>
        </w:rPr>
      </w:pPr>
    </w:p>
    <w:p w:rsidR="00764EB5" w:rsidRDefault="00764EB5">
      <w:pPr>
        <w:suppressAutoHyphens w:val="0"/>
        <w:ind w:firstLine="0"/>
        <w:jc w:val="center"/>
        <w:rPr>
          <w:rFonts w:eastAsia="Calibri"/>
          <w:b/>
          <w:bCs/>
          <w:sz w:val="36"/>
          <w:szCs w:val="32"/>
        </w:rPr>
      </w:pPr>
    </w:p>
    <w:p w:rsidR="00764EB5" w:rsidRDefault="00764EB5">
      <w:pPr>
        <w:suppressAutoHyphens w:val="0"/>
        <w:ind w:firstLine="0"/>
        <w:jc w:val="center"/>
        <w:rPr>
          <w:rFonts w:eastAsia="Calibri"/>
          <w:b/>
          <w:bCs/>
          <w:sz w:val="36"/>
          <w:szCs w:val="32"/>
        </w:rPr>
      </w:pPr>
    </w:p>
    <w:p w:rsidR="00764EB5" w:rsidRDefault="00764EB5">
      <w:pPr>
        <w:suppressAutoHyphens w:val="0"/>
        <w:ind w:firstLine="0"/>
        <w:jc w:val="center"/>
        <w:rPr>
          <w:rFonts w:eastAsia="Calibri"/>
          <w:b/>
          <w:bCs/>
          <w:sz w:val="36"/>
          <w:szCs w:val="32"/>
        </w:rPr>
      </w:pPr>
    </w:p>
    <w:p w:rsidR="00764EB5" w:rsidRDefault="00764EB5">
      <w:pPr>
        <w:suppressAutoHyphens w:val="0"/>
        <w:ind w:firstLine="0"/>
        <w:jc w:val="center"/>
        <w:rPr>
          <w:rFonts w:eastAsia="Calibri"/>
          <w:b/>
          <w:bCs/>
          <w:sz w:val="36"/>
          <w:szCs w:val="32"/>
        </w:rPr>
      </w:pPr>
    </w:p>
    <w:p w:rsidR="00764EB5" w:rsidRDefault="00DF13CC">
      <w:pPr>
        <w:suppressAutoHyphens w:val="0"/>
        <w:ind w:firstLine="0"/>
        <w:jc w:val="center"/>
        <w:rPr>
          <w:rFonts w:eastAsia="Calibri"/>
          <w:b/>
          <w:bCs/>
          <w:sz w:val="36"/>
          <w:szCs w:val="32"/>
        </w:rPr>
      </w:pPr>
      <w:r>
        <w:rPr>
          <w:rFonts w:eastAsia="Calibri"/>
          <w:b/>
          <w:bCs/>
          <w:sz w:val="36"/>
          <w:szCs w:val="32"/>
        </w:rPr>
        <w:t xml:space="preserve">HÀ NỘI, 2026 </w:t>
      </w:r>
    </w:p>
    <w:p w:rsidR="00764EB5" w:rsidRDefault="00DF13CC">
      <w:pPr>
        <w:suppressAutoHyphens w:val="0"/>
        <w:ind w:firstLine="0"/>
        <w:jc w:val="center"/>
        <w:rPr>
          <w:rFonts w:eastAsia="Calibri"/>
          <w:b/>
          <w:bCs/>
          <w:sz w:val="36"/>
          <w:szCs w:val="36"/>
        </w:rPr>
      </w:pPr>
      <w:r>
        <w:rPr>
          <w:rFonts w:eastAsia="Calibri"/>
          <w:b/>
          <w:bCs/>
          <w:sz w:val="36"/>
          <w:szCs w:val="36"/>
        </w:rPr>
        <w:br w:type="page"/>
      </w:r>
      <w:r>
        <w:rPr>
          <w:rFonts w:eastAsia="Calibri"/>
          <w:b/>
          <w:bCs/>
          <w:sz w:val="36"/>
          <w:szCs w:val="36"/>
        </w:rPr>
        <w:lastRenderedPageBreak/>
        <w:t>BỘ GIÁO DỤC VÀ ĐÀO TẠO</w:t>
      </w:r>
    </w:p>
    <w:p w:rsidR="00764EB5" w:rsidRDefault="00DF13CC">
      <w:pPr>
        <w:suppressAutoHyphens w:val="0"/>
        <w:ind w:firstLine="0"/>
        <w:jc w:val="center"/>
        <w:rPr>
          <w:rFonts w:eastAsia="Calibri"/>
          <w:b/>
          <w:bCs/>
          <w:sz w:val="36"/>
          <w:szCs w:val="36"/>
        </w:rPr>
      </w:pPr>
      <w:r>
        <w:rPr>
          <w:rFonts w:eastAsia="Calibri"/>
          <w:b/>
          <w:bCs/>
          <w:sz w:val="36"/>
          <w:szCs w:val="36"/>
        </w:rPr>
        <w:t>TRƯỜNG ĐẠI HỌC ĐÔNG ĐÔ</w:t>
      </w:r>
    </w:p>
    <w:p w:rsidR="00764EB5" w:rsidRDefault="00DF13CC">
      <w:pPr>
        <w:suppressAutoHyphens w:val="0"/>
        <w:ind w:firstLine="0"/>
        <w:jc w:val="center"/>
        <w:rPr>
          <w:rFonts w:eastAsia="Calibri"/>
          <w:b/>
          <w:bCs/>
          <w:sz w:val="36"/>
          <w:szCs w:val="36"/>
        </w:rPr>
      </w:pPr>
      <w:r>
        <w:rPr>
          <w:rFonts w:eastAsia="Calibri"/>
          <w:b/>
          <w:bCs/>
          <w:sz w:val="36"/>
          <w:szCs w:val="36"/>
        </w:rPr>
        <w:t>**********</w:t>
      </w:r>
    </w:p>
    <w:p w:rsidR="00764EB5" w:rsidRDefault="00764EB5">
      <w:pPr>
        <w:suppressAutoHyphens w:val="0"/>
        <w:ind w:firstLine="0"/>
        <w:jc w:val="center"/>
        <w:rPr>
          <w:rFonts w:eastAsia="Calibri"/>
          <w:b/>
          <w:bCs/>
          <w:sz w:val="36"/>
          <w:szCs w:val="36"/>
        </w:rPr>
      </w:pPr>
    </w:p>
    <w:p w:rsidR="00764EB5" w:rsidRDefault="00764EB5">
      <w:pPr>
        <w:suppressAutoHyphens w:val="0"/>
        <w:ind w:firstLine="0"/>
        <w:jc w:val="center"/>
        <w:rPr>
          <w:rFonts w:eastAsia="Calibri"/>
          <w:b/>
          <w:bCs/>
          <w:sz w:val="36"/>
          <w:szCs w:val="36"/>
        </w:rPr>
      </w:pPr>
    </w:p>
    <w:p w:rsidR="00764EB5" w:rsidRDefault="00DF13CC">
      <w:pPr>
        <w:suppressAutoHyphens w:val="0"/>
        <w:ind w:firstLine="0"/>
        <w:jc w:val="center"/>
        <w:rPr>
          <w:rFonts w:eastAsia="Calibri"/>
          <w:b/>
          <w:bCs/>
          <w:sz w:val="36"/>
          <w:szCs w:val="36"/>
        </w:rPr>
      </w:pPr>
      <w:r>
        <w:rPr>
          <w:rFonts w:eastAsia="Calibri"/>
          <w:b/>
          <w:bCs/>
          <w:sz w:val="44"/>
          <w:szCs w:val="44"/>
        </w:rPr>
        <w:t>HỒ DUY XUYÊN</w:t>
      </w:r>
    </w:p>
    <w:p w:rsidR="00764EB5" w:rsidRDefault="00764EB5">
      <w:pPr>
        <w:suppressAutoHyphens w:val="0"/>
        <w:ind w:firstLine="0"/>
        <w:jc w:val="center"/>
        <w:rPr>
          <w:rFonts w:eastAsia="Calibri"/>
          <w:b/>
          <w:bCs/>
          <w:sz w:val="32"/>
          <w:szCs w:val="28"/>
        </w:rPr>
      </w:pPr>
    </w:p>
    <w:p w:rsidR="00764EB5" w:rsidRDefault="00764EB5">
      <w:pPr>
        <w:suppressAutoHyphens w:val="0"/>
        <w:ind w:firstLine="0"/>
        <w:jc w:val="center"/>
        <w:rPr>
          <w:rFonts w:eastAsia="Calibri"/>
          <w:b/>
          <w:bCs/>
          <w:sz w:val="32"/>
          <w:szCs w:val="28"/>
        </w:rPr>
      </w:pPr>
    </w:p>
    <w:p w:rsidR="00764EB5" w:rsidRDefault="00DF13CC">
      <w:pPr>
        <w:suppressAutoHyphens w:val="0"/>
        <w:ind w:firstLine="0"/>
        <w:jc w:val="center"/>
        <w:rPr>
          <w:rFonts w:eastAsia="Calibri"/>
          <w:b/>
          <w:bCs/>
          <w:sz w:val="36"/>
          <w:szCs w:val="32"/>
        </w:rPr>
      </w:pPr>
      <w:r>
        <w:rPr>
          <w:rFonts w:eastAsia="Calibri"/>
          <w:b/>
          <w:bCs/>
          <w:sz w:val="32"/>
          <w:szCs w:val="28"/>
        </w:rPr>
        <w:t>NGHIÊN CỨU CÁC YẾU TỐ ẢNH HƯỞNG ĐẾN QUYẾT ĐỊNH MUA CĂN HỘ CHUNG CƯ TẠI VÙNG ĐÔNG NAM BỘ</w:t>
      </w:r>
    </w:p>
    <w:p w:rsidR="00764EB5" w:rsidRDefault="00764EB5">
      <w:pPr>
        <w:suppressAutoHyphens w:val="0"/>
        <w:ind w:firstLine="0"/>
        <w:jc w:val="center"/>
        <w:rPr>
          <w:rFonts w:eastAsia="Calibri"/>
          <w:b/>
          <w:bCs/>
          <w:sz w:val="36"/>
          <w:szCs w:val="32"/>
        </w:rPr>
      </w:pPr>
    </w:p>
    <w:p w:rsidR="00764EB5" w:rsidRDefault="00764EB5">
      <w:pPr>
        <w:suppressAutoHyphens w:val="0"/>
        <w:ind w:firstLine="0"/>
        <w:jc w:val="center"/>
        <w:rPr>
          <w:rFonts w:eastAsia="Calibri"/>
          <w:b/>
          <w:bCs/>
          <w:sz w:val="36"/>
          <w:szCs w:val="32"/>
        </w:rPr>
      </w:pPr>
    </w:p>
    <w:p w:rsidR="00764EB5" w:rsidRDefault="00DF13CC">
      <w:pPr>
        <w:suppressAutoHyphens w:val="0"/>
        <w:ind w:firstLine="0"/>
        <w:jc w:val="center"/>
        <w:rPr>
          <w:rFonts w:eastAsia="Calibri"/>
          <w:b/>
          <w:bCs/>
          <w:sz w:val="36"/>
          <w:szCs w:val="32"/>
        </w:rPr>
      </w:pPr>
      <w:r>
        <w:rPr>
          <w:rFonts w:eastAsia="Calibri"/>
          <w:b/>
          <w:bCs/>
          <w:sz w:val="44"/>
          <w:szCs w:val="40"/>
        </w:rPr>
        <w:t>LUẬN ÁN TIẾN SĨ</w:t>
      </w:r>
    </w:p>
    <w:p w:rsidR="00764EB5" w:rsidRDefault="00DF13CC">
      <w:pPr>
        <w:suppressAutoHyphens w:val="0"/>
        <w:ind w:firstLine="0"/>
        <w:jc w:val="center"/>
        <w:rPr>
          <w:b/>
          <w:bCs/>
          <w:sz w:val="32"/>
          <w:szCs w:val="28"/>
        </w:rPr>
      </w:pPr>
      <w:r>
        <w:rPr>
          <w:b/>
          <w:bCs/>
          <w:sz w:val="32"/>
          <w:szCs w:val="28"/>
        </w:rPr>
        <w:t>NGÀNH QUẢN TRỊ KINH DOANH</w:t>
      </w:r>
    </w:p>
    <w:p w:rsidR="00764EB5" w:rsidRDefault="00764EB5">
      <w:pPr>
        <w:suppressAutoHyphens w:val="0"/>
        <w:jc w:val="center"/>
        <w:rPr>
          <w:sz w:val="28"/>
        </w:rPr>
      </w:pPr>
    </w:p>
    <w:p w:rsidR="00764EB5" w:rsidRDefault="00764EB5">
      <w:pPr>
        <w:suppressAutoHyphens w:val="0"/>
        <w:jc w:val="center"/>
        <w:rPr>
          <w:sz w:val="28"/>
        </w:rPr>
      </w:pPr>
    </w:p>
    <w:p w:rsidR="00764EB5" w:rsidRDefault="00764EB5">
      <w:pPr>
        <w:suppressAutoHyphens w:val="0"/>
        <w:jc w:val="center"/>
        <w:rPr>
          <w:sz w:val="28"/>
        </w:rPr>
      </w:pPr>
    </w:p>
    <w:tbl>
      <w:tblPr>
        <w:tblW w:w="0" w:type="auto"/>
        <w:tblLook w:val="04A0" w:firstRow="1" w:lastRow="0" w:firstColumn="1" w:lastColumn="0" w:noHBand="0" w:noVBand="1"/>
      </w:tblPr>
      <w:tblGrid>
        <w:gridCol w:w="3227"/>
        <w:gridCol w:w="5890"/>
      </w:tblGrid>
      <w:tr w:rsidR="00764EB5">
        <w:tc>
          <w:tcPr>
            <w:tcW w:w="3227" w:type="dxa"/>
          </w:tcPr>
          <w:p w:rsidR="00764EB5" w:rsidRDefault="00764EB5">
            <w:pPr>
              <w:suppressAutoHyphens w:val="0"/>
              <w:ind w:firstLine="0"/>
              <w:jc w:val="right"/>
              <w:rPr>
                <w:sz w:val="28"/>
              </w:rPr>
            </w:pPr>
            <w:bookmarkStart w:id="0" w:name="_Hlk186708181"/>
          </w:p>
        </w:tc>
        <w:tc>
          <w:tcPr>
            <w:tcW w:w="5890" w:type="dxa"/>
          </w:tcPr>
          <w:p w:rsidR="00764EB5" w:rsidRDefault="00DF13CC">
            <w:pPr>
              <w:suppressAutoHyphens w:val="0"/>
              <w:ind w:firstLine="0"/>
              <w:rPr>
                <w:b/>
                <w:bCs/>
                <w:sz w:val="28"/>
                <w:szCs w:val="28"/>
              </w:rPr>
            </w:pPr>
            <w:r>
              <w:rPr>
                <w:b/>
                <w:bCs/>
                <w:sz w:val="28"/>
                <w:szCs w:val="28"/>
              </w:rPr>
              <w:t>Người hướng dẫn khoa học:</w:t>
            </w:r>
          </w:p>
        </w:tc>
      </w:tr>
      <w:tr w:rsidR="00764EB5">
        <w:tc>
          <w:tcPr>
            <w:tcW w:w="3227" w:type="dxa"/>
          </w:tcPr>
          <w:p w:rsidR="00764EB5" w:rsidRDefault="00764EB5">
            <w:pPr>
              <w:suppressAutoHyphens w:val="0"/>
              <w:ind w:firstLine="0"/>
              <w:jc w:val="right"/>
              <w:rPr>
                <w:sz w:val="28"/>
              </w:rPr>
            </w:pPr>
          </w:p>
        </w:tc>
        <w:tc>
          <w:tcPr>
            <w:tcW w:w="5890" w:type="dxa"/>
          </w:tcPr>
          <w:p w:rsidR="00764EB5" w:rsidRDefault="00DF13CC" w:rsidP="006A3CC0">
            <w:pPr>
              <w:suppressAutoHyphens w:val="0"/>
              <w:ind w:firstLine="0"/>
              <w:jc w:val="left"/>
              <w:rPr>
                <w:sz w:val="28"/>
                <w:szCs w:val="24"/>
              </w:rPr>
            </w:pPr>
            <w:r>
              <w:rPr>
                <w:sz w:val="28"/>
                <w:szCs w:val="24"/>
              </w:rPr>
              <w:t xml:space="preserve">1. </w:t>
            </w:r>
            <w:r>
              <w:rPr>
                <w:b/>
                <w:bCs/>
                <w:sz w:val="28"/>
                <w:szCs w:val="24"/>
              </w:rPr>
              <w:t>PGS</w:t>
            </w:r>
            <w:r w:rsidR="006A3CC0">
              <w:rPr>
                <w:b/>
                <w:bCs/>
                <w:sz w:val="28"/>
                <w:szCs w:val="24"/>
              </w:rPr>
              <w:t>.</w:t>
            </w:r>
            <w:r>
              <w:rPr>
                <w:b/>
                <w:bCs/>
                <w:sz w:val="28"/>
                <w:szCs w:val="24"/>
              </w:rPr>
              <w:t>TS</w:t>
            </w:r>
            <w:r w:rsidR="006A3CC0">
              <w:rPr>
                <w:b/>
                <w:bCs/>
                <w:sz w:val="28"/>
                <w:szCs w:val="24"/>
              </w:rPr>
              <w:t>.</w:t>
            </w:r>
            <w:r>
              <w:rPr>
                <w:b/>
                <w:bCs/>
                <w:sz w:val="28"/>
                <w:szCs w:val="24"/>
              </w:rPr>
              <w:t xml:space="preserve"> Hoàng Thị Thanh Nhàn</w:t>
            </w:r>
          </w:p>
        </w:tc>
      </w:tr>
      <w:tr w:rsidR="00764EB5">
        <w:tc>
          <w:tcPr>
            <w:tcW w:w="3227" w:type="dxa"/>
          </w:tcPr>
          <w:p w:rsidR="00764EB5" w:rsidRDefault="00764EB5">
            <w:pPr>
              <w:suppressAutoHyphens w:val="0"/>
              <w:ind w:firstLine="0"/>
              <w:jc w:val="center"/>
              <w:rPr>
                <w:sz w:val="28"/>
              </w:rPr>
            </w:pPr>
          </w:p>
        </w:tc>
        <w:tc>
          <w:tcPr>
            <w:tcW w:w="5890" w:type="dxa"/>
          </w:tcPr>
          <w:p w:rsidR="00764EB5" w:rsidRDefault="00DF13CC">
            <w:pPr>
              <w:suppressAutoHyphens w:val="0"/>
              <w:ind w:firstLine="0"/>
              <w:jc w:val="left"/>
              <w:rPr>
                <w:sz w:val="28"/>
                <w:szCs w:val="24"/>
              </w:rPr>
            </w:pPr>
            <w:r>
              <w:rPr>
                <w:sz w:val="28"/>
                <w:szCs w:val="24"/>
              </w:rPr>
              <w:t xml:space="preserve">2. </w:t>
            </w:r>
            <w:r>
              <w:rPr>
                <w:b/>
                <w:bCs/>
                <w:sz w:val="28"/>
                <w:szCs w:val="24"/>
              </w:rPr>
              <w:t>TS</w:t>
            </w:r>
            <w:r w:rsidR="006A3CC0">
              <w:rPr>
                <w:b/>
                <w:bCs/>
                <w:sz w:val="28"/>
                <w:szCs w:val="24"/>
              </w:rPr>
              <w:t>.</w:t>
            </w:r>
            <w:r>
              <w:rPr>
                <w:b/>
                <w:bCs/>
                <w:sz w:val="28"/>
                <w:szCs w:val="24"/>
              </w:rPr>
              <w:t xml:space="preserve"> Ngô Trung Hòa</w:t>
            </w:r>
          </w:p>
        </w:tc>
      </w:tr>
      <w:bookmarkEnd w:id="0"/>
    </w:tbl>
    <w:p w:rsidR="00764EB5" w:rsidRDefault="00764EB5">
      <w:pPr>
        <w:suppressAutoHyphens w:val="0"/>
        <w:ind w:firstLine="0"/>
        <w:jc w:val="center"/>
        <w:rPr>
          <w:rFonts w:eastAsia="Calibri"/>
          <w:b/>
          <w:bCs/>
          <w:sz w:val="36"/>
          <w:szCs w:val="32"/>
        </w:rPr>
      </w:pPr>
    </w:p>
    <w:p w:rsidR="00764EB5" w:rsidRDefault="00764EB5">
      <w:pPr>
        <w:suppressAutoHyphens w:val="0"/>
        <w:ind w:firstLine="0"/>
        <w:jc w:val="center"/>
        <w:rPr>
          <w:rFonts w:eastAsia="Calibri"/>
          <w:b/>
          <w:bCs/>
          <w:sz w:val="36"/>
          <w:szCs w:val="32"/>
        </w:rPr>
      </w:pPr>
    </w:p>
    <w:p w:rsidR="00764EB5" w:rsidRDefault="00764EB5">
      <w:pPr>
        <w:suppressAutoHyphens w:val="0"/>
        <w:ind w:firstLine="0"/>
        <w:jc w:val="center"/>
        <w:rPr>
          <w:rFonts w:eastAsia="Calibri"/>
          <w:b/>
          <w:bCs/>
          <w:sz w:val="36"/>
          <w:szCs w:val="32"/>
        </w:rPr>
      </w:pPr>
    </w:p>
    <w:p w:rsidR="00764EB5" w:rsidRDefault="00DF13CC">
      <w:pPr>
        <w:suppressAutoHyphens w:val="0"/>
        <w:ind w:firstLine="0"/>
        <w:jc w:val="center"/>
        <w:rPr>
          <w:rFonts w:eastAsia="Calibri"/>
          <w:b/>
          <w:bCs/>
          <w:sz w:val="36"/>
          <w:szCs w:val="32"/>
        </w:rPr>
      </w:pPr>
      <w:r>
        <w:rPr>
          <w:rFonts w:eastAsia="Calibri"/>
          <w:b/>
          <w:bCs/>
          <w:sz w:val="36"/>
          <w:szCs w:val="32"/>
        </w:rPr>
        <w:t>HÀ NỘI, 2026</w:t>
      </w:r>
    </w:p>
    <w:p w:rsidR="00764EB5" w:rsidRDefault="00764EB5">
      <w:pPr>
        <w:suppressAutoHyphens w:val="0"/>
        <w:ind w:firstLine="0"/>
        <w:jc w:val="center"/>
        <w:rPr>
          <w:rFonts w:eastAsia="Calibri"/>
          <w:b/>
          <w:bCs/>
          <w:sz w:val="36"/>
          <w:szCs w:val="32"/>
        </w:rPr>
      </w:pPr>
    </w:p>
    <w:p w:rsidR="00764EB5" w:rsidRDefault="00764EB5">
      <w:pPr>
        <w:suppressAutoHyphens w:val="0"/>
        <w:ind w:firstLine="0"/>
        <w:jc w:val="center"/>
        <w:rPr>
          <w:rFonts w:eastAsia="Calibri"/>
          <w:b/>
          <w:bCs/>
          <w:sz w:val="36"/>
          <w:szCs w:val="32"/>
        </w:rPr>
      </w:pPr>
    </w:p>
    <w:p w:rsidR="00764EB5" w:rsidRDefault="00764EB5">
      <w:pPr>
        <w:suppressAutoHyphens w:val="0"/>
        <w:jc w:val="center"/>
        <w:rPr>
          <w:sz w:val="28"/>
        </w:rPr>
        <w:sectPr w:rsidR="00764EB5" w:rsidSect="000E2356">
          <w:headerReference w:type="even" r:id="rId10"/>
          <w:headerReference w:type="default" r:id="rId11"/>
          <w:headerReference w:type="first" r:id="rId12"/>
          <w:pgSz w:w="11900" w:h="16840"/>
          <w:pgMar w:top="1701" w:right="720" w:bottom="720" w:left="1814" w:header="720" w:footer="720" w:gutter="0"/>
          <w:cols w:space="720"/>
          <w:docGrid w:linePitch="354"/>
        </w:sectPr>
      </w:pPr>
    </w:p>
    <w:p w:rsidR="00764EB5" w:rsidRPr="00137C18" w:rsidRDefault="00DF13CC">
      <w:pPr>
        <w:ind w:left="294" w:right="286" w:hanging="10"/>
        <w:jc w:val="center"/>
        <w:rPr>
          <w:b/>
          <w:color w:val="auto"/>
          <w:szCs w:val="28"/>
        </w:rPr>
      </w:pPr>
      <w:r w:rsidRPr="00137C18">
        <w:rPr>
          <w:b/>
          <w:color w:val="auto"/>
        </w:rPr>
        <w:lastRenderedPageBreak/>
        <w:t>LỜI CAM ĐOAN</w:t>
      </w:r>
    </w:p>
    <w:p w:rsidR="00764EB5" w:rsidRDefault="00DF13CC">
      <w:pPr>
        <w:ind w:left="708" w:firstLine="0"/>
        <w:jc w:val="left"/>
        <w:rPr>
          <w:color w:val="auto"/>
          <w:szCs w:val="28"/>
        </w:rPr>
      </w:pPr>
      <w:r>
        <w:rPr>
          <w:color w:val="auto"/>
          <w:szCs w:val="28"/>
        </w:rPr>
        <w:t xml:space="preserve"> </w:t>
      </w:r>
    </w:p>
    <w:p w:rsidR="00764EB5" w:rsidRDefault="00DF13CC">
      <w:pPr>
        <w:ind w:left="-3" w:right="21" w:firstLine="720"/>
        <w:rPr>
          <w:color w:val="auto"/>
          <w:szCs w:val="28"/>
        </w:rPr>
      </w:pPr>
      <w:r>
        <w:rPr>
          <w:color w:val="auto"/>
        </w:rPr>
        <w:t>Tôi đã đọc và hiểu về các hành vi vi phạm sự trung thực trong học thuật. Tôi cam kết bằng danh dự cá nhân rằng nghiên cứu này do tôi tự thực hiện và không vi phạm yêu cầu về sự trung thực trong học thuật.</w:t>
      </w:r>
    </w:p>
    <w:p w:rsidR="00764EB5" w:rsidRDefault="00DF13CC">
      <w:pPr>
        <w:ind w:left="708" w:firstLine="0"/>
        <w:jc w:val="left"/>
        <w:rPr>
          <w:color w:val="auto"/>
          <w:szCs w:val="28"/>
        </w:rPr>
      </w:pPr>
      <w:r>
        <w:rPr>
          <w:color w:val="auto"/>
          <w:szCs w:val="28"/>
        </w:rPr>
        <w:t xml:space="preserve">  </w:t>
      </w:r>
    </w:p>
    <w:tbl>
      <w:tblPr>
        <w:tblW w:w="8131" w:type="dxa"/>
        <w:tblInd w:w="708" w:type="dxa"/>
        <w:tblLayout w:type="fixed"/>
        <w:tblLook w:val="04A0" w:firstRow="1" w:lastRow="0" w:firstColumn="1" w:lastColumn="0" w:noHBand="0" w:noVBand="1"/>
      </w:tblPr>
      <w:tblGrid>
        <w:gridCol w:w="3685"/>
        <w:gridCol w:w="4446"/>
      </w:tblGrid>
      <w:tr w:rsidR="00764EB5">
        <w:tc>
          <w:tcPr>
            <w:tcW w:w="3685" w:type="dxa"/>
          </w:tcPr>
          <w:p w:rsidR="00764EB5" w:rsidRDefault="00764EB5">
            <w:pPr>
              <w:ind w:firstLine="0"/>
              <w:jc w:val="left"/>
              <w:rPr>
                <w:color w:val="auto"/>
                <w:szCs w:val="28"/>
              </w:rPr>
            </w:pPr>
          </w:p>
        </w:tc>
        <w:tc>
          <w:tcPr>
            <w:tcW w:w="4445" w:type="dxa"/>
          </w:tcPr>
          <w:p w:rsidR="00764EB5" w:rsidRDefault="00DF13CC">
            <w:pPr>
              <w:ind w:firstLine="0"/>
              <w:jc w:val="center"/>
              <w:rPr>
                <w:color w:val="auto"/>
                <w:szCs w:val="28"/>
              </w:rPr>
            </w:pPr>
            <w:r>
              <w:rPr>
                <w:color w:val="auto"/>
              </w:rPr>
              <w:t xml:space="preserve">Hà Nội, ngày        tháng  </w:t>
            </w:r>
            <w:r w:rsidR="006A3CC0">
              <w:rPr>
                <w:color w:val="auto"/>
              </w:rPr>
              <w:t>9</w:t>
            </w:r>
            <w:r>
              <w:rPr>
                <w:color w:val="auto"/>
              </w:rPr>
              <w:t xml:space="preserve">  năm 2026</w:t>
            </w:r>
          </w:p>
        </w:tc>
      </w:tr>
      <w:tr w:rsidR="00764EB5">
        <w:tc>
          <w:tcPr>
            <w:tcW w:w="3685" w:type="dxa"/>
          </w:tcPr>
          <w:p w:rsidR="00764EB5" w:rsidRDefault="00764EB5">
            <w:pPr>
              <w:ind w:firstLine="0"/>
              <w:jc w:val="left"/>
              <w:rPr>
                <w:color w:val="auto"/>
                <w:szCs w:val="28"/>
              </w:rPr>
            </w:pPr>
          </w:p>
        </w:tc>
        <w:tc>
          <w:tcPr>
            <w:tcW w:w="4445" w:type="dxa"/>
          </w:tcPr>
          <w:p w:rsidR="00764EB5" w:rsidRDefault="00DF13CC">
            <w:pPr>
              <w:ind w:firstLine="0"/>
              <w:jc w:val="center"/>
              <w:rPr>
                <w:color w:val="auto"/>
                <w:szCs w:val="28"/>
              </w:rPr>
            </w:pPr>
            <w:r>
              <w:rPr>
                <w:b/>
                <w:color w:val="auto"/>
                <w:szCs w:val="28"/>
              </w:rPr>
              <w:t>Nghiên cứu sinh</w:t>
            </w:r>
          </w:p>
        </w:tc>
      </w:tr>
      <w:tr w:rsidR="00764EB5">
        <w:tc>
          <w:tcPr>
            <w:tcW w:w="3685" w:type="dxa"/>
          </w:tcPr>
          <w:p w:rsidR="00764EB5" w:rsidRDefault="00764EB5">
            <w:pPr>
              <w:ind w:firstLine="0"/>
              <w:jc w:val="left"/>
              <w:rPr>
                <w:color w:val="auto"/>
                <w:szCs w:val="28"/>
              </w:rPr>
            </w:pPr>
          </w:p>
        </w:tc>
        <w:tc>
          <w:tcPr>
            <w:tcW w:w="4445" w:type="dxa"/>
          </w:tcPr>
          <w:p w:rsidR="00764EB5" w:rsidRDefault="00764EB5">
            <w:pPr>
              <w:ind w:firstLine="0"/>
              <w:jc w:val="center"/>
              <w:rPr>
                <w:b/>
                <w:color w:val="auto"/>
                <w:szCs w:val="28"/>
              </w:rPr>
            </w:pPr>
          </w:p>
          <w:p w:rsidR="00764EB5" w:rsidRDefault="00764EB5">
            <w:pPr>
              <w:ind w:firstLine="0"/>
              <w:jc w:val="center"/>
              <w:rPr>
                <w:b/>
                <w:color w:val="auto"/>
                <w:szCs w:val="28"/>
              </w:rPr>
            </w:pPr>
          </w:p>
          <w:p w:rsidR="00764EB5" w:rsidRDefault="00DF13CC">
            <w:pPr>
              <w:ind w:firstLine="0"/>
              <w:jc w:val="center"/>
              <w:rPr>
                <w:b/>
                <w:color w:val="auto"/>
                <w:szCs w:val="28"/>
              </w:rPr>
            </w:pPr>
            <w:r>
              <w:rPr>
                <w:b/>
                <w:color w:val="auto"/>
                <w:szCs w:val="28"/>
              </w:rPr>
              <w:t xml:space="preserve"> </w:t>
            </w:r>
          </w:p>
          <w:p w:rsidR="00764EB5" w:rsidRDefault="00764EB5">
            <w:pPr>
              <w:ind w:firstLine="0"/>
              <w:jc w:val="center"/>
              <w:rPr>
                <w:b/>
                <w:color w:val="auto"/>
                <w:szCs w:val="28"/>
              </w:rPr>
            </w:pPr>
          </w:p>
          <w:p w:rsidR="00764EB5" w:rsidRDefault="00DF13CC">
            <w:pPr>
              <w:ind w:firstLine="0"/>
              <w:jc w:val="center"/>
              <w:rPr>
                <w:b/>
                <w:color w:val="auto"/>
                <w:szCs w:val="28"/>
              </w:rPr>
            </w:pPr>
            <w:r>
              <w:rPr>
                <w:b/>
                <w:color w:val="auto"/>
                <w:szCs w:val="28"/>
              </w:rPr>
              <w:t>Hồ Duy Xuyên</w:t>
            </w:r>
          </w:p>
        </w:tc>
      </w:tr>
    </w:tbl>
    <w:p w:rsidR="00764EB5" w:rsidRDefault="00764EB5">
      <w:pPr>
        <w:ind w:left="708" w:firstLine="0"/>
        <w:jc w:val="left"/>
        <w:rPr>
          <w:color w:val="auto"/>
          <w:szCs w:val="28"/>
        </w:rPr>
      </w:pPr>
    </w:p>
    <w:p w:rsidR="00764EB5" w:rsidRDefault="00764EB5">
      <w:pPr>
        <w:ind w:left="4131" w:right="233" w:hanging="10"/>
        <w:jc w:val="center"/>
        <w:rPr>
          <w:i/>
          <w:color w:val="auto"/>
          <w:szCs w:val="28"/>
        </w:rPr>
      </w:pPr>
    </w:p>
    <w:p w:rsidR="00764EB5" w:rsidRDefault="00764EB5">
      <w:pPr>
        <w:ind w:left="4131" w:right="233" w:hanging="10"/>
        <w:jc w:val="center"/>
        <w:rPr>
          <w:i/>
          <w:color w:val="auto"/>
          <w:szCs w:val="28"/>
        </w:rPr>
      </w:pPr>
    </w:p>
    <w:p w:rsidR="00764EB5" w:rsidRDefault="00764EB5">
      <w:pPr>
        <w:ind w:left="4131" w:right="233" w:hanging="10"/>
        <w:jc w:val="center"/>
        <w:rPr>
          <w:i/>
          <w:color w:val="auto"/>
          <w:szCs w:val="28"/>
        </w:rPr>
      </w:pPr>
    </w:p>
    <w:p w:rsidR="00764EB5" w:rsidRDefault="00764EB5">
      <w:pPr>
        <w:ind w:left="4131" w:right="233" w:hanging="10"/>
        <w:jc w:val="center"/>
        <w:rPr>
          <w:i/>
          <w:color w:val="auto"/>
          <w:szCs w:val="28"/>
        </w:rPr>
      </w:pPr>
    </w:p>
    <w:p w:rsidR="00764EB5" w:rsidRDefault="00764EB5">
      <w:pPr>
        <w:ind w:left="4131" w:right="233" w:hanging="10"/>
        <w:jc w:val="center"/>
        <w:rPr>
          <w:color w:val="auto"/>
          <w:szCs w:val="28"/>
        </w:rPr>
      </w:pPr>
    </w:p>
    <w:p w:rsidR="00764EB5" w:rsidRDefault="00764EB5">
      <w:pPr>
        <w:ind w:left="4131" w:right="233" w:hanging="10"/>
        <w:jc w:val="center"/>
        <w:rPr>
          <w:color w:val="auto"/>
          <w:szCs w:val="28"/>
        </w:rPr>
      </w:pPr>
    </w:p>
    <w:p w:rsidR="00764EB5" w:rsidRDefault="00764EB5">
      <w:pPr>
        <w:ind w:left="4131" w:right="233" w:hanging="10"/>
        <w:jc w:val="center"/>
        <w:rPr>
          <w:color w:val="auto"/>
          <w:szCs w:val="28"/>
        </w:rPr>
      </w:pPr>
    </w:p>
    <w:p w:rsidR="00764EB5" w:rsidRDefault="00764EB5">
      <w:pPr>
        <w:ind w:left="4131" w:right="233" w:hanging="10"/>
        <w:jc w:val="center"/>
        <w:rPr>
          <w:color w:val="auto"/>
          <w:szCs w:val="28"/>
        </w:rPr>
      </w:pPr>
    </w:p>
    <w:p w:rsidR="00764EB5" w:rsidRDefault="00764EB5">
      <w:pPr>
        <w:ind w:left="4131" w:right="233" w:hanging="10"/>
        <w:jc w:val="center"/>
        <w:rPr>
          <w:color w:val="auto"/>
          <w:szCs w:val="28"/>
        </w:rPr>
      </w:pPr>
    </w:p>
    <w:p w:rsidR="00764EB5" w:rsidRDefault="00764EB5">
      <w:pPr>
        <w:ind w:left="4131" w:right="233" w:hanging="10"/>
        <w:jc w:val="center"/>
        <w:rPr>
          <w:color w:val="auto"/>
          <w:szCs w:val="28"/>
        </w:rPr>
      </w:pPr>
    </w:p>
    <w:p w:rsidR="00764EB5" w:rsidRDefault="00764EB5">
      <w:pPr>
        <w:ind w:left="4131" w:right="233" w:hanging="10"/>
        <w:jc w:val="center"/>
        <w:rPr>
          <w:color w:val="auto"/>
          <w:szCs w:val="28"/>
        </w:rPr>
      </w:pPr>
    </w:p>
    <w:p w:rsidR="00764EB5" w:rsidRDefault="00764EB5">
      <w:pPr>
        <w:ind w:left="4131" w:right="233" w:hanging="10"/>
        <w:jc w:val="center"/>
        <w:rPr>
          <w:color w:val="auto"/>
          <w:szCs w:val="28"/>
        </w:rPr>
      </w:pPr>
    </w:p>
    <w:p w:rsidR="00764EB5" w:rsidRDefault="00DF13CC">
      <w:pPr>
        <w:ind w:left="3888" w:firstLine="0"/>
        <w:jc w:val="center"/>
        <w:rPr>
          <w:color w:val="auto"/>
          <w:szCs w:val="28"/>
        </w:rPr>
      </w:pPr>
      <w:r>
        <w:rPr>
          <w:b/>
          <w:color w:val="auto"/>
          <w:szCs w:val="28"/>
        </w:rPr>
        <w:t xml:space="preserve"> </w:t>
      </w:r>
    </w:p>
    <w:p w:rsidR="00764EB5" w:rsidRDefault="00DF13CC">
      <w:pPr>
        <w:ind w:left="3888" w:firstLine="0"/>
        <w:jc w:val="center"/>
        <w:rPr>
          <w:color w:val="auto"/>
          <w:szCs w:val="28"/>
        </w:rPr>
      </w:pPr>
      <w:r>
        <w:rPr>
          <w:b/>
          <w:color w:val="auto"/>
          <w:szCs w:val="28"/>
        </w:rPr>
        <w:t xml:space="preserve"> </w:t>
      </w:r>
    </w:p>
    <w:p w:rsidR="00764EB5" w:rsidRDefault="00DF13CC">
      <w:pPr>
        <w:ind w:left="3888" w:firstLine="0"/>
        <w:jc w:val="center"/>
        <w:rPr>
          <w:color w:val="auto"/>
          <w:szCs w:val="28"/>
        </w:rPr>
      </w:pPr>
      <w:r>
        <w:rPr>
          <w:b/>
          <w:color w:val="auto"/>
          <w:szCs w:val="28"/>
        </w:rPr>
        <w:t xml:space="preserve"> </w:t>
      </w:r>
    </w:p>
    <w:p w:rsidR="00764EB5" w:rsidRDefault="00DF13CC">
      <w:pPr>
        <w:keepNext/>
        <w:keepLines/>
        <w:shd w:val="clear" w:color="auto" w:fill="FFFFFF"/>
        <w:suppressAutoHyphens w:val="0"/>
        <w:ind w:firstLine="0"/>
        <w:jc w:val="center"/>
        <w:outlineLvl w:val="0"/>
        <w:rPr>
          <w:rFonts w:eastAsia="Yu Gothic Light"/>
          <w:b/>
          <w:bCs/>
          <w:color w:val="auto"/>
          <w:sz w:val="28"/>
          <w:szCs w:val="26"/>
          <w:lang w:val="de-DE" w:eastAsia="ja-JP"/>
        </w:rPr>
      </w:pPr>
      <w:bookmarkStart w:id="1" w:name="_Toc233971587"/>
      <w:bookmarkStart w:id="2" w:name="_Toc225439353"/>
      <w:bookmarkStart w:id="3" w:name="_Toc232404869"/>
      <w:bookmarkStart w:id="4" w:name="_Toc237449328"/>
      <w:bookmarkStart w:id="5" w:name="_Toc241062401"/>
      <w:bookmarkStart w:id="6" w:name="_Toc241064317"/>
      <w:bookmarkStart w:id="7" w:name="_Toc241065250"/>
      <w:bookmarkStart w:id="8" w:name="_Toc241065461"/>
      <w:r>
        <w:rPr>
          <w:rFonts w:eastAsia="Yu Gothic Light"/>
          <w:b/>
          <w:bCs/>
          <w:color w:val="auto"/>
          <w:sz w:val="28"/>
          <w:szCs w:val="26"/>
          <w:lang w:val="de-DE" w:eastAsia="ja-JP"/>
        </w:rPr>
        <w:lastRenderedPageBreak/>
        <w:t>LỜI CẢM ƠN</w:t>
      </w:r>
      <w:bookmarkEnd w:id="1"/>
      <w:bookmarkEnd w:id="2"/>
      <w:bookmarkEnd w:id="3"/>
      <w:bookmarkEnd w:id="4"/>
      <w:bookmarkEnd w:id="5"/>
      <w:bookmarkEnd w:id="6"/>
      <w:bookmarkEnd w:id="7"/>
      <w:bookmarkEnd w:id="8"/>
    </w:p>
    <w:p w:rsidR="00764EB5" w:rsidRDefault="00764EB5">
      <w:pPr>
        <w:keepNext/>
        <w:keepLines/>
        <w:shd w:val="clear" w:color="auto" w:fill="FFFFFF"/>
        <w:suppressAutoHyphens w:val="0"/>
        <w:ind w:firstLine="0"/>
        <w:jc w:val="center"/>
        <w:outlineLvl w:val="0"/>
        <w:rPr>
          <w:rFonts w:eastAsia="Yu Gothic Light"/>
          <w:b/>
          <w:bCs/>
          <w:color w:val="auto"/>
          <w:sz w:val="28"/>
          <w:szCs w:val="26"/>
          <w:lang w:val="de-DE" w:eastAsia="ja-JP"/>
        </w:rPr>
      </w:pPr>
    </w:p>
    <w:p w:rsidR="00764EB5" w:rsidRDefault="00DF13CC">
      <w:pPr>
        <w:suppressAutoHyphens w:val="0"/>
        <w:ind w:firstLine="0"/>
        <w:jc w:val="left"/>
        <w:rPr>
          <w:rFonts w:eastAsia="Yu Mincho"/>
          <w:color w:val="auto"/>
          <w:szCs w:val="26"/>
          <w:lang w:val="de-DE"/>
        </w:rPr>
      </w:pPr>
      <w:r>
        <w:rPr>
          <w:rFonts w:eastAsia="Yu Mincho"/>
          <w:b/>
          <w:color w:val="auto"/>
          <w:szCs w:val="26"/>
        </w:rPr>
        <w:tab/>
      </w:r>
      <w:r>
        <w:rPr>
          <w:rFonts w:eastAsia="Yu Mincho"/>
          <w:color w:val="auto"/>
          <w:szCs w:val="26"/>
          <w:lang w:val="de-DE"/>
        </w:rPr>
        <w:t>Trong quá trình học tập, nghiên cứu và hoàn thành luận án tiến sĩ tôi xin c</w:t>
      </w:r>
      <w:r w:rsidR="008C6F28">
        <w:rPr>
          <w:rFonts w:eastAsia="Yu Mincho"/>
          <w:color w:val="auto"/>
          <w:szCs w:val="26"/>
          <w:lang w:val="de-DE"/>
        </w:rPr>
        <w:t>ả</w:t>
      </w:r>
      <w:r>
        <w:rPr>
          <w:rFonts w:eastAsia="Yu Mincho"/>
          <w:color w:val="auto"/>
          <w:szCs w:val="26"/>
          <w:lang w:val="de-DE"/>
        </w:rPr>
        <w:t>m ơn sự hỗ trợ, giúp đỡ tận tình của tập thể hướng dẫn khoa học là PGS.TS. Hoàng Thị Thanh Nhàn và TS. Ngô Trung Hòa.</w:t>
      </w:r>
    </w:p>
    <w:p w:rsidR="00764EB5" w:rsidRDefault="00DF13CC">
      <w:pPr>
        <w:tabs>
          <w:tab w:val="left" w:pos="567"/>
        </w:tabs>
        <w:suppressAutoHyphens w:val="0"/>
        <w:ind w:firstLine="0"/>
        <w:rPr>
          <w:rFonts w:eastAsia="Yu Mincho"/>
          <w:color w:val="auto"/>
          <w:szCs w:val="26"/>
          <w:lang w:val="de-DE"/>
        </w:rPr>
      </w:pPr>
      <w:r>
        <w:rPr>
          <w:rFonts w:eastAsia="Yu Mincho"/>
          <w:color w:val="auto"/>
          <w:szCs w:val="26"/>
          <w:lang w:val="de-DE"/>
        </w:rPr>
        <w:tab/>
        <w:t xml:space="preserve">Tôi xin cảm ơn sự giúp đỡ và tạo điều kiện của Ban Giám hiệu, Viện Đào tạo Sau đại học, Khoa Kinh tế và Quản lý - Trường Đại học Đông Đô để tôi hoàn thành được luận án này. </w:t>
      </w:r>
    </w:p>
    <w:p w:rsidR="00764EB5" w:rsidRPr="003D6B28" w:rsidRDefault="00DF13CC">
      <w:pPr>
        <w:tabs>
          <w:tab w:val="left" w:pos="567"/>
        </w:tabs>
        <w:suppressAutoHyphens w:val="0"/>
        <w:ind w:firstLine="0"/>
        <w:rPr>
          <w:rFonts w:eastAsia="Yu Mincho"/>
          <w:color w:val="auto"/>
          <w:spacing w:val="-4"/>
          <w:szCs w:val="26"/>
          <w:lang w:val="de-DE"/>
        </w:rPr>
      </w:pPr>
      <w:r>
        <w:rPr>
          <w:rFonts w:eastAsia="Yu Mincho"/>
          <w:color w:val="auto"/>
          <w:szCs w:val="26"/>
          <w:lang w:val="de-DE"/>
        </w:rPr>
        <w:tab/>
      </w:r>
      <w:r w:rsidRPr="003D6B28">
        <w:rPr>
          <w:rFonts w:eastAsia="Yu Mincho"/>
          <w:color w:val="auto"/>
          <w:spacing w:val="-4"/>
          <w:szCs w:val="26"/>
          <w:lang w:val="de-DE"/>
        </w:rPr>
        <w:t>Tôi xin cảm ơn các thầy cô giáo, các nhà khoa học, các đồng nghiệp và bạn bè đã chia sẻ kinh nghiệm quý báu, góp phần giúp tôi hoàn thiện hơn nội dung của luận án.</w:t>
      </w:r>
    </w:p>
    <w:p w:rsidR="00764EB5" w:rsidRDefault="00DF13CC">
      <w:pPr>
        <w:tabs>
          <w:tab w:val="left" w:pos="567"/>
        </w:tabs>
        <w:suppressAutoHyphens w:val="0"/>
        <w:ind w:firstLine="0"/>
        <w:rPr>
          <w:rFonts w:eastAsia="Yu Mincho"/>
          <w:color w:val="auto"/>
          <w:szCs w:val="26"/>
          <w:lang w:val="de-DE"/>
        </w:rPr>
      </w:pPr>
      <w:r>
        <w:rPr>
          <w:rFonts w:eastAsia="Yu Mincho"/>
          <w:color w:val="auto"/>
          <w:szCs w:val="26"/>
          <w:lang w:val="de-DE"/>
        </w:rPr>
        <w:tab/>
        <w:t>Tôi gửi lời biết ơn sâu sắc tới gia đình và người thân đã động viên, khuyến khích và tạo điều kiện giúp t</w:t>
      </w:r>
      <w:r w:rsidR="008C6F28">
        <w:rPr>
          <w:rFonts w:eastAsia="Yu Mincho"/>
          <w:color w:val="auto"/>
          <w:szCs w:val="26"/>
          <w:lang w:val="de-DE"/>
        </w:rPr>
        <w:t>ô</w:t>
      </w:r>
      <w:r>
        <w:rPr>
          <w:rFonts w:eastAsia="Yu Mincho"/>
          <w:color w:val="auto"/>
          <w:szCs w:val="26"/>
          <w:lang w:val="de-DE"/>
        </w:rPr>
        <w:t>i trong suốt quá trình học tập và nghiên cứu.</w:t>
      </w:r>
    </w:p>
    <w:p w:rsidR="00764EB5" w:rsidRDefault="00DF13CC">
      <w:pPr>
        <w:tabs>
          <w:tab w:val="left" w:pos="567"/>
        </w:tabs>
        <w:suppressAutoHyphens w:val="0"/>
        <w:ind w:firstLine="0"/>
        <w:rPr>
          <w:rFonts w:eastAsia="Yu Mincho"/>
          <w:color w:val="auto"/>
          <w:szCs w:val="26"/>
          <w:lang w:val="de-DE"/>
        </w:rPr>
      </w:pPr>
      <w:r>
        <w:rPr>
          <w:rFonts w:eastAsia="Yu Mincho"/>
          <w:color w:val="auto"/>
          <w:szCs w:val="26"/>
          <w:lang w:val="de-DE"/>
        </w:rPr>
        <w:tab/>
        <w:t>Mặc dù đã rất nỗ lực, luận án khó tránh khỏi những hạn chế nhất định. Tôi rất mong nhận được sự đóng góp ý kiến của các nhà khoa học, thầy cô và bạn đọc để công trình được hoàn thiện hơn.</w:t>
      </w:r>
    </w:p>
    <w:p w:rsidR="00764EB5" w:rsidRDefault="00DF13CC">
      <w:pPr>
        <w:tabs>
          <w:tab w:val="left" w:pos="567"/>
        </w:tabs>
        <w:suppressAutoHyphens w:val="0"/>
        <w:ind w:firstLine="0"/>
        <w:rPr>
          <w:rFonts w:eastAsia="Yu Mincho"/>
          <w:color w:val="auto"/>
          <w:szCs w:val="26"/>
          <w:lang w:val="de-DE"/>
        </w:rPr>
      </w:pPr>
      <w:r>
        <w:rPr>
          <w:rFonts w:eastAsia="Yu Mincho"/>
          <w:color w:val="auto"/>
          <w:szCs w:val="26"/>
          <w:lang w:val="de-DE"/>
        </w:rPr>
        <w:tab/>
        <w:t>Xin trân trọng cảm ơn!</w:t>
      </w:r>
    </w:p>
    <w:tbl>
      <w:tblPr>
        <w:tblW w:w="9452" w:type="dxa"/>
        <w:tblLook w:val="04A0" w:firstRow="1" w:lastRow="0" w:firstColumn="1" w:lastColumn="0" w:noHBand="0" w:noVBand="1"/>
      </w:tblPr>
      <w:tblGrid>
        <w:gridCol w:w="4716"/>
        <w:gridCol w:w="4736"/>
      </w:tblGrid>
      <w:tr w:rsidR="00764EB5">
        <w:trPr>
          <w:trHeight w:val="2063"/>
        </w:trPr>
        <w:tc>
          <w:tcPr>
            <w:tcW w:w="4716" w:type="dxa"/>
          </w:tcPr>
          <w:p w:rsidR="00764EB5" w:rsidRDefault="00764EB5">
            <w:pPr>
              <w:tabs>
                <w:tab w:val="left" w:pos="567"/>
              </w:tabs>
              <w:suppressAutoHyphens w:val="0"/>
              <w:ind w:firstLine="0"/>
              <w:rPr>
                <w:rFonts w:eastAsia="Yu Mincho"/>
                <w:color w:val="auto"/>
                <w:szCs w:val="26"/>
                <w:lang w:val="de-DE"/>
              </w:rPr>
            </w:pPr>
          </w:p>
        </w:tc>
        <w:tc>
          <w:tcPr>
            <w:tcW w:w="4736" w:type="dxa"/>
          </w:tcPr>
          <w:p w:rsidR="00764EB5" w:rsidRDefault="00764EB5">
            <w:pPr>
              <w:tabs>
                <w:tab w:val="left" w:pos="567"/>
              </w:tabs>
              <w:suppressAutoHyphens w:val="0"/>
              <w:ind w:firstLine="0"/>
              <w:rPr>
                <w:b/>
                <w:bCs/>
                <w:color w:val="auto"/>
                <w:szCs w:val="26"/>
                <w:lang w:val="de-DE" w:eastAsia="ja-JP"/>
              </w:rPr>
            </w:pPr>
            <w:bookmarkStart w:id="9" w:name="_GoBack"/>
            <w:bookmarkEnd w:id="9"/>
          </w:p>
          <w:p w:rsidR="00764EB5" w:rsidRDefault="00764EB5">
            <w:pPr>
              <w:tabs>
                <w:tab w:val="left" w:pos="567"/>
              </w:tabs>
              <w:suppressAutoHyphens w:val="0"/>
              <w:ind w:firstLine="0"/>
              <w:rPr>
                <w:rFonts w:eastAsia="Yu Mincho"/>
                <w:color w:val="auto"/>
                <w:szCs w:val="26"/>
                <w:lang w:val="de-DE"/>
              </w:rPr>
            </w:pPr>
          </w:p>
        </w:tc>
      </w:tr>
    </w:tbl>
    <w:p w:rsidR="00764EB5" w:rsidRDefault="00DF13CC">
      <w:pPr>
        <w:ind w:left="5434" w:hanging="10"/>
        <w:jc w:val="center"/>
        <w:rPr>
          <w:color w:val="auto"/>
          <w:szCs w:val="28"/>
        </w:rPr>
      </w:pPr>
      <w:r>
        <w:rPr>
          <w:color w:val="auto"/>
        </w:rPr>
        <w:br w:type="page"/>
      </w:r>
    </w:p>
    <w:p w:rsidR="00BF5505" w:rsidRDefault="00BF5505" w:rsidP="00BF5505">
      <w:pPr>
        <w:pStyle w:val="TOC1"/>
        <w:tabs>
          <w:tab w:val="right" w:leader="dot" w:pos="8835"/>
        </w:tabs>
        <w:ind w:left="0"/>
        <w:jc w:val="center"/>
        <w:rPr>
          <w:b/>
          <w:color w:val="auto"/>
        </w:rPr>
      </w:pPr>
      <w:r w:rsidRPr="00BF5505">
        <w:rPr>
          <w:b/>
          <w:color w:val="auto"/>
        </w:rPr>
        <w:lastRenderedPageBreak/>
        <w:t>MỤC LỤC</w:t>
      </w:r>
    </w:p>
    <w:p w:rsidR="00BF5505" w:rsidRPr="00BF5505" w:rsidRDefault="00BF5505" w:rsidP="00BF5505">
      <w:pPr>
        <w:pStyle w:val="TOC1"/>
        <w:tabs>
          <w:tab w:val="right" w:leader="dot" w:pos="8835"/>
        </w:tabs>
        <w:ind w:left="0"/>
        <w:jc w:val="center"/>
        <w:rPr>
          <w:b/>
          <w:color w:val="auto"/>
          <w:sz w:val="6"/>
        </w:rPr>
      </w:pPr>
    </w:p>
    <w:p w:rsidR="00704B4E" w:rsidRDefault="00704B4E"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r>
        <w:rPr>
          <w:color w:val="auto"/>
        </w:rPr>
        <w:fldChar w:fldCharType="begin"/>
      </w:r>
      <w:r>
        <w:rPr>
          <w:color w:val="auto"/>
        </w:rPr>
        <w:instrText xml:space="preserve"> TOC \o "1-3" \h \z \u </w:instrText>
      </w:r>
      <w:r>
        <w:rPr>
          <w:color w:val="auto"/>
        </w:rPr>
        <w:fldChar w:fldCharType="separate"/>
      </w:r>
      <w:hyperlink w:anchor="_Toc241064320" w:history="1">
        <w:r w:rsidRPr="00BF5505">
          <w:rPr>
            <w:rStyle w:val="Hyperlink"/>
            <w:b/>
            <w:noProof/>
          </w:rPr>
          <w:t>PHẦN MỞ ĐẦU</w:t>
        </w:r>
        <w:r>
          <w:rPr>
            <w:noProof/>
            <w:webHidden/>
          </w:rPr>
          <w:tab/>
        </w:r>
        <w:r>
          <w:rPr>
            <w:noProof/>
            <w:webHidden/>
          </w:rPr>
          <w:fldChar w:fldCharType="begin"/>
        </w:r>
        <w:r>
          <w:rPr>
            <w:noProof/>
            <w:webHidden/>
          </w:rPr>
          <w:instrText xml:space="preserve"> PAGEREF _Toc241064320 \h </w:instrText>
        </w:r>
        <w:r>
          <w:rPr>
            <w:noProof/>
            <w:webHidden/>
          </w:rPr>
        </w:r>
        <w:r>
          <w:rPr>
            <w:noProof/>
            <w:webHidden/>
          </w:rPr>
          <w:fldChar w:fldCharType="separate"/>
        </w:r>
        <w:r w:rsidR="00783A1B">
          <w:rPr>
            <w:noProof/>
            <w:webHidden/>
          </w:rPr>
          <w:t>2</w:t>
        </w:r>
        <w:r>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334" w:history="1">
        <w:r w:rsidR="00704B4E" w:rsidRPr="00BF5505">
          <w:rPr>
            <w:rStyle w:val="Hyperlink"/>
            <w:b/>
            <w:noProof/>
          </w:rPr>
          <w:t>CHƯƠNG 1: TỔNG QUAN NGHIÊN CỨU</w:t>
        </w:r>
        <w:r w:rsidR="00704B4E">
          <w:rPr>
            <w:noProof/>
            <w:webHidden/>
          </w:rPr>
          <w:tab/>
        </w:r>
        <w:r w:rsidR="00704B4E">
          <w:rPr>
            <w:noProof/>
            <w:webHidden/>
          </w:rPr>
          <w:fldChar w:fldCharType="begin"/>
        </w:r>
        <w:r w:rsidR="00704B4E">
          <w:rPr>
            <w:noProof/>
            <w:webHidden/>
          </w:rPr>
          <w:instrText xml:space="preserve"> PAGEREF _Toc241064334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335" w:history="1">
        <w:r w:rsidR="00704B4E" w:rsidRPr="00BF5505">
          <w:rPr>
            <w:rStyle w:val="Hyperlink"/>
            <w:b/>
            <w:noProof/>
          </w:rPr>
          <w:t>1.1. Tổng quan các nghiên cứu liên quan trong nước</w:t>
        </w:r>
        <w:r w:rsidR="00704B4E">
          <w:rPr>
            <w:noProof/>
            <w:webHidden/>
          </w:rPr>
          <w:tab/>
        </w:r>
        <w:r w:rsidR="00704B4E">
          <w:rPr>
            <w:noProof/>
            <w:webHidden/>
          </w:rPr>
          <w:fldChar w:fldCharType="begin"/>
        </w:r>
        <w:r w:rsidR="00704B4E">
          <w:rPr>
            <w:noProof/>
            <w:webHidden/>
          </w:rPr>
          <w:instrText xml:space="preserve"> PAGEREF _Toc241064335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337" w:history="1">
        <w:r w:rsidR="00704B4E" w:rsidRPr="00BF5505">
          <w:rPr>
            <w:rStyle w:val="Hyperlink"/>
            <w:b/>
            <w:noProof/>
          </w:rPr>
          <w:t>1.2. Tổng quan các nghiên cứu liên quan trên thế giới</w:t>
        </w:r>
        <w:r w:rsidR="00704B4E">
          <w:rPr>
            <w:noProof/>
            <w:webHidden/>
          </w:rPr>
          <w:tab/>
        </w:r>
        <w:r w:rsidR="00704B4E">
          <w:rPr>
            <w:noProof/>
            <w:webHidden/>
          </w:rPr>
          <w:fldChar w:fldCharType="begin"/>
        </w:r>
        <w:r w:rsidR="00704B4E">
          <w:rPr>
            <w:noProof/>
            <w:webHidden/>
          </w:rPr>
          <w:instrText xml:space="preserve"> PAGEREF _Toc241064337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339" w:history="1">
        <w:r w:rsidR="00704B4E" w:rsidRPr="00BF5505">
          <w:rPr>
            <w:rStyle w:val="Hyperlink"/>
            <w:b/>
            <w:noProof/>
          </w:rPr>
          <w:t>1.3. Khoảng trống nghiên cứu</w:t>
        </w:r>
        <w:r w:rsidR="00704B4E">
          <w:rPr>
            <w:noProof/>
            <w:webHidden/>
          </w:rPr>
          <w:tab/>
        </w:r>
        <w:r w:rsidR="00704B4E">
          <w:rPr>
            <w:noProof/>
            <w:webHidden/>
          </w:rPr>
          <w:fldChar w:fldCharType="begin"/>
        </w:r>
        <w:r w:rsidR="00704B4E">
          <w:rPr>
            <w:noProof/>
            <w:webHidden/>
          </w:rPr>
          <w:instrText xml:space="preserve"> PAGEREF _Toc241064339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340" w:history="1">
        <w:r w:rsidR="00704B4E" w:rsidRPr="0037665A">
          <w:rPr>
            <w:rStyle w:val="Hyperlink"/>
            <w:b/>
            <w:i/>
            <w:noProof/>
          </w:rPr>
          <w:t>1.3.1. Tổng hợp và đánh giá  các hướng nghiên cứu</w:t>
        </w:r>
        <w:r w:rsidR="00704B4E">
          <w:rPr>
            <w:noProof/>
            <w:webHidden/>
          </w:rPr>
          <w:tab/>
        </w:r>
        <w:r w:rsidR="00704B4E">
          <w:rPr>
            <w:noProof/>
            <w:webHidden/>
          </w:rPr>
          <w:fldChar w:fldCharType="begin"/>
        </w:r>
        <w:r w:rsidR="00704B4E">
          <w:rPr>
            <w:noProof/>
            <w:webHidden/>
          </w:rPr>
          <w:instrText xml:space="preserve"> PAGEREF _Toc241064340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41" w:history="1">
        <w:r w:rsidR="00704B4E" w:rsidRPr="00BF5505">
          <w:rPr>
            <w:rStyle w:val="Hyperlink"/>
            <w:b/>
            <w:i/>
            <w:noProof/>
          </w:rPr>
          <w:t>1.3.2. Khoảng trống nghiên cứu</w:t>
        </w:r>
        <w:r w:rsidR="00704B4E">
          <w:rPr>
            <w:noProof/>
            <w:webHidden/>
          </w:rPr>
          <w:tab/>
        </w:r>
        <w:r w:rsidR="00704B4E">
          <w:rPr>
            <w:noProof/>
            <w:webHidden/>
          </w:rPr>
          <w:fldChar w:fldCharType="begin"/>
        </w:r>
        <w:r w:rsidR="00704B4E">
          <w:rPr>
            <w:noProof/>
            <w:webHidden/>
          </w:rPr>
          <w:instrText xml:space="preserve"> PAGEREF _Toc241064341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46" w:history="1">
        <w:r w:rsidR="00704B4E" w:rsidRPr="00BF5505">
          <w:rPr>
            <w:rStyle w:val="Hyperlink"/>
            <w:b/>
            <w:i/>
            <w:noProof/>
          </w:rPr>
          <w:t>1.3.3. Định hướng nghiên cứu của luận án</w:t>
        </w:r>
        <w:r w:rsidR="00704B4E">
          <w:rPr>
            <w:noProof/>
            <w:webHidden/>
          </w:rPr>
          <w:tab/>
        </w:r>
        <w:r w:rsidR="00704B4E">
          <w:rPr>
            <w:noProof/>
            <w:webHidden/>
          </w:rPr>
          <w:fldChar w:fldCharType="begin"/>
        </w:r>
        <w:r w:rsidR="00704B4E">
          <w:rPr>
            <w:noProof/>
            <w:webHidden/>
          </w:rPr>
          <w:instrText xml:space="preserve"> PAGEREF _Toc241064346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347" w:history="1">
        <w:r w:rsidR="00704B4E" w:rsidRPr="0037665A">
          <w:rPr>
            <w:rStyle w:val="Hyperlink"/>
            <w:b/>
            <w:bCs/>
            <w:noProof/>
          </w:rPr>
          <w:t>TÓM TẮT CHƯƠNG 1</w:t>
        </w:r>
        <w:r w:rsidR="00704B4E">
          <w:rPr>
            <w:noProof/>
            <w:webHidden/>
          </w:rPr>
          <w:tab/>
        </w:r>
        <w:r w:rsidR="00704B4E">
          <w:rPr>
            <w:noProof/>
            <w:webHidden/>
          </w:rPr>
          <w:fldChar w:fldCharType="begin"/>
        </w:r>
        <w:r w:rsidR="00704B4E">
          <w:rPr>
            <w:noProof/>
            <w:webHidden/>
          </w:rPr>
          <w:instrText xml:space="preserve"> PAGEREF _Toc241064347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348" w:history="1">
        <w:r w:rsidR="00704B4E" w:rsidRPr="00BF5505">
          <w:rPr>
            <w:rStyle w:val="Hyperlink"/>
            <w:b/>
            <w:noProof/>
          </w:rPr>
          <w:t>CHƯƠNG 2: CƠ SỞ LÝ LUẬN VÀ MÔ HÌNH NGHIÊN CỨU</w:t>
        </w:r>
        <w:r w:rsidR="00704B4E">
          <w:rPr>
            <w:noProof/>
            <w:webHidden/>
          </w:rPr>
          <w:tab/>
        </w:r>
        <w:r w:rsidR="00704B4E">
          <w:rPr>
            <w:noProof/>
            <w:webHidden/>
          </w:rPr>
          <w:fldChar w:fldCharType="begin"/>
        </w:r>
        <w:r w:rsidR="00704B4E">
          <w:rPr>
            <w:noProof/>
            <w:webHidden/>
          </w:rPr>
          <w:instrText xml:space="preserve"> PAGEREF _Toc241064348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349" w:history="1">
        <w:r w:rsidR="00704B4E" w:rsidRPr="00BF5505">
          <w:rPr>
            <w:rStyle w:val="Hyperlink"/>
            <w:b/>
            <w:noProof/>
          </w:rPr>
          <w:t>2.1. Cơ sở lý luận trong nghiên cứu</w:t>
        </w:r>
        <w:r w:rsidR="00704B4E">
          <w:rPr>
            <w:noProof/>
            <w:webHidden/>
          </w:rPr>
          <w:tab/>
        </w:r>
        <w:r w:rsidR="00704B4E">
          <w:rPr>
            <w:noProof/>
            <w:webHidden/>
          </w:rPr>
          <w:fldChar w:fldCharType="begin"/>
        </w:r>
        <w:r w:rsidR="00704B4E">
          <w:rPr>
            <w:noProof/>
            <w:webHidden/>
          </w:rPr>
          <w:instrText xml:space="preserve"> PAGEREF _Toc241064349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350" w:history="1">
        <w:r w:rsidR="00704B4E" w:rsidRPr="00BF5505">
          <w:rPr>
            <w:rStyle w:val="Hyperlink"/>
            <w:b/>
            <w:i/>
            <w:noProof/>
          </w:rPr>
          <w:t>2.1.1. Căn hộ chung cư</w:t>
        </w:r>
        <w:r w:rsidR="00704B4E">
          <w:rPr>
            <w:noProof/>
            <w:webHidden/>
          </w:rPr>
          <w:tab/>
        </w:r>
        <w:r w:rsidR="00704B4E">
          <w:rPr>
            <w:noProof/>
            <w:webHidden/>
          </w:rPr>
          <w:fldChar w:fldCharType="begin"/>
        </w:r>
        <w:r w:rsidR="00704B4E">
          <w:rPr>
            <w:noProof/>
            <w:webHidden/>
          </w:rPr>
          <w:instrText xml:space="preserve"> PAGEREF _Toc241064350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52" w:history="1">
        <w:r w:rsidR="00704B4E" w:rsidRPr="00BF5505">
          <w:rPr>
            <w:rStyle w:val="Hyperlink"/>
            <w:b/>
            <w:i/>
            <w:noProof/>
          </w:rPr>
          <w:t>2.1.2. Khách  hàng  mua  căn  hộ chung  cư</w:t>
        </w:r>
        <w:r w:rsidR="00704B4E">
          <w:rPr>
            <w:noProof/>
            <w:webHidden/>
          </w:rPr>
          <w:tab/>
        </w:r>
        <w:r w:rsidR="00704B4E">
          <w:rPr>
            <w:noProof/>
            <w:webHidden/>
          </w:rPr>
          <w:fldChar w:fldCharType="begin"/>
        </w:r>
        <w:r w:rsidR="00704B4E">
          <w:rPr>
            <w:noProof/>
            <w:webHidden/>
          </w:rPr>
          <w:instrText xml:space="preserve"> PAGEREF _Toc241064352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54" w:history="1">
        <w:r w:rsidR="00704B4E" w:rsidRPr="00BF5505">
          <w:rPr>
            <w:rStyle w:val="Hyperlink"/>
            <w:b/>
            <w:i/>
            <w:noProof/>
          </w:rPr>
          <w:t>2.1.3. Hành vi tiêu dùng</w:t>
        </w:r>
        <w:r w:rsidR="00704B4E">
          <w:rPr>
            <w:noProof/>
            <w:webHidden/>
          </w:rPr>
          <w:tab/>
        </w:r>
        <w:r w:rsidR="00704B4E">
          <w:rPr>
            <w:noProof/>
            <w:webHidden/>
          </w:rPr>
          <w:fldChar w:fldCharType="begin"/>
        </w:r>
        <w:r w:rsidR="00704B4E">
          <w:rPr>
            <w:noProof/>
            <w:webHidden/>
          </w:rPr>
          <w:instrText xml:space="preserve"> PAGEREF _Toc241064354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55" w:history="1">
        <w:r w:rsidR="00704B4E" w:rsidRPr="00BF5505">
          <w:rPr>
            <w:rStyle w:val="Hyperlink"/>
            <w:b/>
            <w:i/>
            <w:noProof/>
          </w:rPr>
          <w:t>2.1.4. Quyết định mua  căn hộ chung cư</w:t>
        </w:r>
        <w:r w:rsidR="00704B4E">
          <w:rPr>
            <w:noProof/>
            <w:webHidden/>
          </w:rPr>
          <w:tab/>
        </w:r>
        <w:r w:rsidR="00704B4E">
          <w:rPr>
            <w:noProof/>
            <w:webHidden/>
          </w:rPr>
          <w:fldChar w:fldCharType="begin"/>
        </w:r>
        <w:r w:rsidR="00704B4E">
          <w:rPr>
            <w:noProof/>
            <w:webHidden/>
          </w:rPr>
          <w:instrText xml:space="preserve"> PAGEREF _Toc241064355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356" w:history="1">
        <w:r w:rsidR="00704B4E" w:rsidRPr="00BF5505">
          <w:rPr>
            <w:rStyle w:val="Hyperlink"/>
            <w:b/>
            <w:noProof/>
          </w:rPr>
          <w:t>2.2. Các lý thuyết nền tảng</w:t>
        </w:r>
        <w:r w:rsidR="00704B4E">
          <w:rPr>
            <w:noProof/>
            <w:webHidden/>
          </w:rPr>
          <w:tab/>
        </w:r>
        <w:r w:rsidR="00704B4E">
          <w:rPr>
            <w:noProof/>
            <w:webHidden/>
          </w:rPr>
          <w:fldChar w:fldCharType="begin"/>
        </w:r>
        <w:r w:rsidR="00704B4E">
          <w:rPr>
            <w:noProof/>
            <w:webHidden/>
          </w:rPr>
          <w:instrText xml:space="preserve"> PAGEREF _Toc241064356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57" w:history="1">
        <w:r w:rsidR="00704B4E" w:rsidRPr="00BF5505">
          <w:rPr>
            <w:rStyle w:val="Hyperlink"/>
            <w:b/>
            <w:i/>
            <w:noProof/>
          </w:rPr>
          <w:t>2.2.1. Lý thuyết hành vi dự định</w:t>
        </w:r>
        <w:r w:rsidR="00704B4E">
          <w:rPr>
            <w:noProof/>
            <w:webHidden/>
          </w:rPr>
          <w:tab/>
        </w:r>
        <w:r w:rsidR="00704B4E">
          <w:rPr>
            <w:noProof/>
            <w:webHidden/>
          </w:rPr>
          <w:fldChar w:fldCharType="begin"/>
        </w:r>
        <w:r w:rsidR="00704B4E">
          <w:rPr>
            <w:noProof/>
            <w:webHidden/>
          </w:rPr>
          <w:instrText xml:space="preserve"> PAGEREF _Toc241064357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58" w:history="1">
        <w:r w:rsidR="00704B4E" w:rsidRPr="00BF5505">
          <w:rPr>
            <w:rStyle w:val="Hyperlink"/>
            <w:b/>
            <w:i/>
            <w:noProof/>
          </w:rPr>
          <w:t>2.2.2. Các lý thuyết liên quan bổ trợ</w:t>
        </w:r>
        <w:r w:rsidR="00704B4E">
          <w:rPr>
            <w:noProof/>
            <w:webHidden/>
          </w:rPr>
          <w:tab/>
        </w:r>
        <w:r w:rsidR="00704B4E">
          <w:rPr>
            <w:noProof/>
            <w:webHidden/>
          </w:rPr>
          <w:fldChar w:fldCharType="begin"/>
        </w:r>
        <w:r w:rsidR="00704B4E">
          <w:rPr>
            <w:noProof/>
            <w:webHidden/>
          </w:rPr>
          <w:instrText xml:space="preserve"> PAGEREF _Toc241064358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60" w:history="1">
        <w:r w:rsidR="00704B4E" w:rsidRPr="00BF5505">
          <w:rPr>
            <w:rStyle w:val="Hyperlink"/>
            <w:b/>
            <w:i/>
            <w:noProof/>
          </w:rPr>
          <w:t>2.2.3. Mở rộng  TPB trong bối cảnh bất động sản</w:t>
        </w:r>
        <w:r w:rsidR="00704B4E">
          <w:rPr>
            <w:noProof/>
            <w:webHidden/>
          </w:rPr>
          <w:tab/>
        </w:r>
        <w:r w:rsidR="00704B4E">
          <w:rPr>
            <w:noProof/>
            <w:webHidden/>
          </w:rPr>
          <w:fldChar w:fldCharType="begin"/>
        </w:r>
        <w:r w:rsidR="00704B4E">
          <w:rPr>
            <w:noProof/>
            <w:webHidden/>
          </w:rPr>
          <w:instrText xml:space="preserve"> PAGEREF _Toc241064360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361" w:history="1">
        <w:r w:rsidR="00704B4E" w:rsidRPr="00BF5505">
          <w:rPr>
            <w:rStyle w:val="Hyperlink"/>
            <w:b/>
            <w:noProof/>
          </w:rPr>
          <w:t>2.3. Các yếu tố ảnh hưởng đến quyết định mua căn hộ chung cư</w:t>
        </w:r>
        <w:r w:rsidR="00704B4E">
          <w:rPr>
            <w:noProof/>
            <w:webHidden/>
          </w:rPr>
          <w:tab/>
        </w:r>
        <w:r w:rsidR="00704B4E">
          <w:rPr>
            <w:noProof/>
            <w:webHidden/>
          </w:rPr>
          <w:fldChar w:fldCharType="begin"/>
        </w:r>
        <w:r w:rsidR="00704B4E">
          <w:rPr>
            <w:noProof/>
            <w:webHidden/>
          </w:rPr>
          <w:instrText xml:space="preserve"> PAGEREF _Toc241064361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62" w:history="1">
        <w:r w:rsidR="00704B4E" w:rsidRPr="00BF5505">
          <w:rPr>
            <w:rStyle w:val="Hyperlink"/>
            <w:b/>
            <w:i/>
            <w:noProof/>
          </w:rPr>
          <w:t>2.3.1. Nhóm yếu tố thái độ đối với căn hộ chung cư</w:t>
        </w:r>
        <w:r w:rsidR="00704B4E">
          <w:rPr>
            <w:noProof/>
            <w:webHidden/>
          </w:rPr>
          <w:tab/>
        </w:r>
        <w:r w:rsidR="00704B4E">
          <w:rPr>
            <w:noProof/>
            <w:webHidden/>
          </w:rPr>
          <w:fldChar w:fldCharType="begin"/>
        </w:r>
        <w:r w:rsidR="00704B4E">
          <w:rPr>
            <w:noProof/>
            <w:webHidden/>
          </w:rPr>
          <w:instrText xml:space="preserve"> PAGEREF _Toc241064362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63" w:history="1">
        <w:r w:rsidR="00704B4E" w:rsidRPr="00BF5505">
          <w:rPr>
            <w:rStyle w:val="Hyperlink"/>
            <w:b/>
            <w:i/>
            <w:noProof/>
          </w:rPr>
          <w:t>2.3.2. Nhóm yếu tố chuẩn chủ quan</w:t>
        </w:r>
        <w:r w:rsidR="00704B4E">
          <w:rPr>
            <w:noProof/>
            <w:webHidden/>
          </w:rPr>
          <w:tab/>
        </w:r>
        <w:r w:rsidR="00704B4E">
          <w:rPr>
            <w:noProof/>
            <w:webHidden/>
          </w:rPr>
          <w:fldChar w:fldCharType="begin"/>
        </w:r>
        <w:r w:rsidR="00704B4E">
          <w:rPr>
            <w:noProof/>
            <w:webHidden/>
          </w:rPr>
          <w:instrText xml:space="preserve"> PAGEREF _Toc241064363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64" w:history="1">
        <w:r w:rsidR="00704B4E" w:rsidRPr="00BF5505">
          <w:rPr>
            <w:rStyle w:val="Hyperlink"/>
            <w:b/>
            <w:i/>
            <w:noProof/>
          </w:rPr>
          <w:t>2.3.3. Nhóm yếu tố nhận thức kiểm soát hành vi</w:t>
        </w:r>
        <w:r w:rsidR="00704B4E">
          <w:rPr>
            <w:noProof/>
            <w:webHidden/>
          </w:rPr>
          <w:tab/>
        </w:r>
        <w:r w:rsidR="00704B4E">
          <w:rPr>
            <w:noProof/>
            <w:webHidden/>
          </w:rPr>
          <w:fldChar w:fldCharType="begin"/>
        </w:r>
        <w:r w:rsidR="00704B4E">
          <w:rPr>
            <w:noProof/>
            <w:webHidden/>
          </w:rPr>
          <w:instrText xml:space="preserve"> PAGEREF _Toc241064364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65" w:history="1">
        <w:r w:rsidR="00704B4E" w:rsidRPr="00BF5505">
          <w:rPr>
            <w:rStyle w:val="Hyperlink"/>
            <w:b/>
            <w:i/>
            <w:noProof/>
          </w:rPr>
          <w:t>2.3.4. Nhóm yếu tố giá trị cảm nhận căn hộ</w:t>
        </w:r>
        <w:r w:rsidR="00704B4E">
          <w:rPr>
            <w:noProof/>
            <w:webHidden/>
          </w:rPr>
          <w:tab/>
        </w:r>
        <w:r w:rsidR="00704B4E">
          <w:rPr>
            <w:noProof/>
            <w:webHidden/>
          </w:rPr>
          <w:fldChar w:fldCharType="begin"/>
        </w:r>
        <w:r w:rsidR="00704B4E">
          <w:rPr>
            <w:noProof/>
            <w:webHidden/>
          </w:rPr>
          <w:instrText xml:space="preserve"> PAGEREF _Toc241064365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367" w:history="1">
        <w:r w:rsidR="00704B4E" w:rsidRPr="00BF5505">
          <w:rPr>
            <w:rStyle w:val="Hyperlink"/>
            <w:b/>
            <w:noProof/>
          </w:rPr>
          <w:t>2.4. Xây dựng mô hình nghiên cứu và đề xuất giả thuyết nghiên cứu</w:t>
        </w:r>
        <w:r w:rsidR="00704B4E">
          <w:rPr>
            <w:noProof/>
            <w:webHidden/>
          </w:rPr>
          <w:tab/>
        </w:r>
        <w:r w:rsidR="00704B4E">
          <w:rPr>
            <w:noProof/>
            <w:webHidden/>
          </w:rPr>
          <w:fldChar w:fldCharType="begin"/>
        </w:r>
        <w:r w:rsidR="00704B4E">
          <w:rPr>
            <w:noProof/>
            <w:webHidden/>
          </w:rPr>
          <w:instrText xml:space="preserve"> PAGEREF _Toc241064367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68" w:history="1">
        <w:r w:rsidR="00704B4E" w:rsidRPr="00BF5505">
          <w:rPr>
            <w:rStyle w:val="Hyperlink"/>
            <w:b/>
            <w:i/>
            <w:noProof/>
          </w:rPr>
          <w:t>2.4.1. Cơ sở đề xuất mô hình</w:t>
        </w:r>
        <w:r w:rsidR="00704B4E">
          <w:rPr>
            <w:noProof/>
            <w:webHidden/>
          </w:rPr>
          <w:tab/>
        </w:r>
        <w:r w:rsidR="00704B4E">
          <w:rPr>
            <w:noProof/>
            <w:webHidden/>
          </w:rPr>
          <w:fldChar w:fldCharType="begin"/>
        </w:r>
        <w:r w:rsidR="00704B4E">
          <w:rPr>
            <w:noProof/>
            <w:webHidden/>
          </w:rPr>
          <w:instrText xml:space="preserve"> PAGEREF _Toc241064368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69" w:history="1">
        <w:r w:rsidR="00704B4E" w:rsidRPr="00BF5505">
          <w:rPr>
            <w:rStyle w:val="Hyperlink"/>
            <w:b/>
            <w:i/>
            <w:noProof/>
          </w:rPr>
          <w:t>2.4.2. Phát triển giả thuyết nghiên cứu</w:t>
        </w:r>
        <w:r w:rsidR="00704B4E">
          <w:rPr>
            <w:noProof/>
            <w:webHidden/>
          </w:rPr>
          <w:tab/>
        </w:r>
        <w:r w:rsidR="00704B4E">
          <w:rPr>
            <w:noProof/>
            <w:webHidden/>
          </w:rPr>
          <w:fldChar w:fldCharType="begin"/>
        </w:r>
        <w:r w:rsidR="00704B4E">
          <w:rPr>
            <w:noProof/>
            <w:webHidden/>
          </w:rPr>
          <w:instrText xml:space="preserve"> PAGEREF _Toc241064369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70" w:history="1">
        <w:r w:rsidR="00704B4E" w:rsidRPr="00BF5505">
          <w:rPr>
            <w:rStyle w:val="Hyperlink"/>
            <w:b/>
            <w:i/>
            <w:noProof/>
          </w:rPr>
          <w:t>2.4.3. Mô hình nghiên cứu đề xuất</w:t>
        </w:r>
        <w:r w:rsidR="00704B4E">
          <w:rPr>
            <w:noProof/>
            <w:webHidden/>
          </w:rPr>
          <w:tab/>
        </w:r>
        <w:r w:rsidR="00704B4E">
          <w:rPr>
            <w:noProof/>
            <w:webHidden/>
          </w:rPr>
          <w:fldChar w:fldCharType="begin"/>
        </w:r>
        <w:r w:rsidR="00704B4E">
          <w:rPr>
            <w:noProof/>
            <w:webHidden/>
          </w:rPr>
          <w:instrText xml:space="preserve"> PAGEREF _Toc241064370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371" w:history="1">
        <w:r w:rsidR="00704B4E" w:rsidRPr="0037665A">
          <w:rPr>
            <w:rStyle w:val="Hyperlink"/>
            <w:b/>
            <w:bCs/>
            <w:noProof/>
          </w:rPr>
          <w:t>TÓM TẮT CHƯƠNG 2</w:t>
        </w:r>
        <w:r w:rsidR="00704B4E">
          <w:rPr>
            <w:noProof/>
            <w:webHidden/>
          </w:rPr>
          <w:tab/>
        </w:r>
        <w:r w:rsidR="00704B4E">
          <w:rPr>
            <w:noProof/>
            <w:webHidden/>
          </w:rPr>
          <w:fldChar w:fldCharType="begin"/>
        </w:r>
        <w:r w:rsidR="00704B4E">
          <w:rPr>
            <w:noProof/>
            <w:webHidden/>
          </w:rPr>
          <w:instrText xml:space="preserve"> PAGEREF _Toc241064371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372" w:history="1">
        <w:r w:rsidR="00704B4E" w:rsidRPr="00BF5505">
          <w:rPr>
            <w:rStyle w:val="Hyperlink"/>
            <w:b/>
            <w:noProof/>
          </w:rPr>
          <w:t>CHƯƠNG 3: PHƯƠNG PHÁP NGHIÊN CỨU</w:t>
        </w:r>
        <w:r w:rsidR="00704B4E">
          <w:rPr>
            <w:noProof/>
            <w:webHidden/>
          </w:rPr>
          <w:tab/>
        </w:r>
        <w:r w:rsidR="00704B4E">
          <w:rPr>
            <w:noProof/>
            <w:webHidden/>
          </w:rPr>
          <w:fldChar w:fldCharType="begin"/>
        </w:r>
        <w:r w:rsidR="00704B4E">
          <w:rPr>
            <w:noProof/>
            <w:webHidden/>
          </w:rPr>
          <w:instrText xml:space="preserve"> PAGEREF _Toc241064372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373" w:history="1">
        <w:r w:rsidR="00704B4E" w:rsidRPr="0037665A">
          <w:rPr>
            <w:rStyle w:val="Hyperlink"/>
            <w:b/>
            <w:noProof/>
          </w:rPr>
          <w:t>3.1.Đặc điểm vùng Đông Nam Bộ</w:t>
        </w:r>
        <w:r w:rsidR="00704B4E">
          <w:rPr>
            <w:noProof/>
            <w:webHidden/>
          </w:rPr>
          <w:tab/>
        </w:r>
        <w:r w:rsidR="00704B4E">
          <w:rPr>
            <w:noProof/>
            <w:webHidden/>
          </w:rPr>
          <w:fldChar w:fldCharType="begin"/>
        </w:r>
        <w:r w:rsidR="00704B4E">
          <w:rPr>
            <w:noProof/>
            <w:webHidden/>
          </w:rPr>
          <w:instrText xml:space="preserve"> PAGEREF _Toc241064373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376" w:history="1">
        <w:r w:rsidR="00704B4E" w:rsidRPr="0037665A">
          <w:rPr>
            <w:rStyle w:val="Hyperlink"/>
            <w:b/>
            <w:noProof/>
          </w:rPr>
          <w:t>3.2. Phương pháp nghiên cứu</w:t>
        </w:r>
        <w:r w:rsidR="00704B4E">
          <w:rPr>
            <w:noProof/>
            <w:webHidden/>
          </w:rPr>
          <w:tab/>
        </w:r>
        <w:r w:rsidR="00704B4E">
          <w:rPr>
            <w:noProof/>
            <w:webHidden/>
          </w:rPr>
          <w:fldChar w:fldCharType="begin"/>
        </w:r>
        <w:r w:rsidR="00704B4E">
          <w:rPr>
            <w:noProof/>
            <w:webHidden/>
          </w:rPr>
          <w:instrText xml:space="preserve"> PAGEREF _Toc241064376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377" w:history="1">
        <w:r w:rsidR="00704B4E" w:rsidRPr="00BF5505">
          <w:rPr>
            <w:rStyle w:val="Hyperlink"/>
            <w:b/>
            <w:i/>
            <w:noProof/>
          </w:rPr>
          <w:t>3.2.1. Quy trình và thiết kế nghiên cứu</w:t>
        </w:r>
        <w:r w:rsidR="00704B4E">
          <w:rPr>
            <w:noProof/>
            <w:webHidden/>
          </w:rPr>
          <w:tab/>
        </w:r>
        <w:r w:rsidR="00704B4E">
          <w:rPr>
            <w:noProof/>
            <w:webHidden/>
          </w:rPr>
          <w:fldChar w:fldCharType="begin"/>
        </w:r>
        <w:r w:rsidR="00704B4E">
          <w:rPr>
            <w:noProof/>
            <w:webHidden/>
          </w:rPr>
          <w:instrText xml:space="preserve"> PAGEREF _Toc241064377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Style w:val="Hyperlink"/>
          <w:noProof/>
        </w:rPr>
      </w:pPr>
      <w:hyperlink w:anchor="_Toc241064378" w:history="1">
        <w:r w:rsidR="00704B4E" w:rsidRPr="00BF5505">
          <w:rPr>
            <w:rStyle w:val="Hyperlink"/>
            <w:b/>
            <w:i/>
            <w:noProof/>
          </w:rPr>
          <w:t>3.2.2. Chọn điểm và mẫu nghiên cứ</w:t>
        </w:r>
        <w:r w:rsidR="00704B4E" w:rsidRPr="0037665A">
          <w:rPr>
            <w:rStyle w:val="Hyperlink"/>
            <w:i/>
            <w:noProof/>
          </w:rPr>
          <w:t>u</w:t>
        </w:r>
        <w:r w:rsidR="00704B4E">
          <w:rPr>
            <w:noProof/>
            <w:webHidden/>
          </w:rPr>
          <w:tab/>
        </w:r>
        <w:r w:rsidR="00704B4E">
          <w:rPr>
            <w:noProof/>
            <w:webHidden/>
          </w:rPr>
          <w:fldChar w:fldCharType="begin"/>
        </w:r>
        <w:r w:rsidR="00704B4E">
          <w:rPr>
            <w:noProof/>
            <w:webHidden/>
          </w:rPr>
          <w:instrText xml:space="preserve"> PAGEREF _Toc241064378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Pr="00704B4E" w:rsidRDefault="00704B4E" w:rsidP="00BF5505">
      <w:pPr>
        <w:pStyle w:val="TOC2"/>
        <w:ind w:left="0" w:firstLine="0"/>
        <w:rPr>
          <w:noProof/>
          <w:color w:val="467886"/>
          <w:u w:val="single"/>
        </w:rPr>
      </w:pPr>
      <w:r>
        <w:rPr>
          <w:b/>
          <w:i/>
          <w:color w:val="auto"/>
        </w:rPr>
        <w:t>3.2.3.Thu thập thông tin nghiên cứu</w:t>
      </w:r>
      <w:r w:rsidRPr="00BF5505">
        <w:rPr>
          <w:color w:val="auto"/>
        </w:rPr>
        <w:tab/>
      </w:r>
      <w:r w:rsidR="00BF5505" w:rsidRPr="00BF5505">
        <w:rPr>
          <w:color w:val="auto"/>
        </w:rPr>
        <w:t>59</w:t>
      </w:r>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389" w:history="1">
        <w:r w:rsidR="00704B4E" w:rsidRPr="00BF5505">
          <w:rPr>
            <w:rStyle w:val="Hyperlink"/>
            <w:b/>
            <w:i/>
            <w:noProof/>
          </w:rPr>
          <w:t>3.2.4. Phương pháp phân tích dữ liệu</w:t>
        </w:r>
        <w:r w:rsidR="00704B4E">
          <w:rPr>
            <w:noProof/>
            <w:webHidden/>
          </w:rPr>
          <w:tab/>
        </w:r>
        <w:r w:rsidR="00704B4E">
          <w:rPr>
            <w:noProof/>
            <w:webHidden/>
          </w:rPr>
          <w:fldChar w:fldCharType="begin"/>
        </w:r>
        <w:r w:rsidR="00704B4E">
          <w:rPr>
            <w:noProof/>
            <w:webHidden/>
          </w:rPr>
          <w:instrText xml:space="preserve"> PAGEREF _Toc241064389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390" w:history="1">
        <w:r w:rsidR="00704B4E" w:rsidRPr="0037665A">
          <w:rPr>
            <w:rStyle w:val="Hyperlink"/>
            <w:b/>
            <w:bCs/>
            <w:noProof/>
          </w:rPr>
          <w:t>TÓM T</w:t>
        </w:r>
        <w:r w:rsidR="00704B4E">
          <w:rPr>
            <w:rStyle w:val="Hyperlink"/>
            <w:b/>
            <w:bCs/>
            <w:noProof/>
          </w:rPr>
          <w:t>ẮT</w:t>
        </w:r>
        <w:r w:rsidR="00704B4E" w:rsidRPr="0037665A">
          <w:rPr>
            <w:rStyle w:val="Hyperlink"/>
            <w:b/>
            <w:bCs/>
            <w:noProof/>
          </w:rPr>
          <w:t xml:space="preserve"> CHƯƠNG 3</w:t>
        </w:r>
        <w:r w:rsidR="00704B4E">
          <w:rPr>
            <w:noProof/>
            <w:webHidden/>
          </w:rPr>
          <w:tab/>
        </w:r>
        <w:r w:rsidR="00704B4E">
          <w:rPr>
            <w:noProof/>
            <w:webHidden/>
          </w:rPr>
          <w:fldChar w:fldCharType="begin"/>
        </w:r>
        <w:r w:rsidR="00704B4E">
          <w:rPr>
            <w:noProof/>
            <w:webHidden/>
          </w:rPr>
          <w:instrText xml:space="preserve"> PAGEREF _Toc241064390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391" w:history="1">
        <w:r w:rsidR="00704B4E" w:rsidRPr="00704B4E">
          <w:rPr>
            <w:rStyle w:val="Hyperlink"/>
            <w:b/>
            <w:noProof/>
          </w:rPr>
          <w:t>CHƯƠNG 4:  PHÂN TÍCH YẾU TỐ ẢNH HƯỞNG TỚI QUYẾT ĐỊNH MUA CĂN HỘ CHUNG CƯ</w:t>
        </w:r>
        <w:r w:rsidR="00704B4E">
          <w:rPr>
            <w:noProof/>
            <w:webHidden/>
          </w:rPr>
          <w:tab/>
        </w:r>
        <w:r w:rsidR="00704B4E">
          <w:rPr>
            <w:noProof/>
            <w:webHidden/>
          </w:rPr>
          <w:fldChar w:fldCharType="begin"/>
        </w:r>
        <w:r w:rsidR="00704B4E">
          <w:rPr>
            <w:noProof/>
            <w:webHidden/>
          </w:rPr>
          <w:instrText xml:space="preserve"> PAGEREF _Toc241064391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392" w:history="1">
        <w:r w:rsidR="00704B4E" w:rsidRPr="00BF5505">
          <w:rPr>
            <w:rStyle w:val="Hyperlink"/>
            <w:b/>
            <w:noProof/>
          </w:rPr>
          <w:t xml:space="preserve">4.1. Thực trạng thị trường căn hộ chung cư vùng Đông Nam </w:t>
        </w:r>
        <w:r w:rsidR="00704B4E" w:rsidRPr="0037665A">
          <w:rPr>
            <w:rStyle w:val="Hyperlink"/>
            <w:noProof/>
          </w:rPr>
          <w:t>Bộ</w:t>
        </w:r>
        <w:r w:rsidR="00704B4E">
          <w:rPr>
            <w:noProof/>
            <w:webHidden/>
          </w:rPr>
          <w:tab/>
        </w:r>
        <w:r w:rsidR="00704B4E">
          <w:rPr>
            <w:noProof/>
            <w:webHidden/>
          </w:rPr>
          <w:fldChar w:fldCharType="begin"/>
        </w:r>
        <w:r w:rsidR="00704B4E">
          <w:rPr>
            <w:noProof/>
            <w:webHidden/>
          </w:rPr>
          <w:instrText xml:space="preserve"> PAGEREF _Toc241064392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393" w:history="1">
        <w:r w:rsidR="00704B4E" w:rsidRPr="00BF5505">
          <w:rPr>
            <w:rStyle w:val="Hyperlink"/>
            <w:b/>
            <w:i/>
            <w:noProof/>
          </w:rPr>
          <w:t>4.1.1. Đặc điểm Kinh tế xã hội liên quan tới thị trường căn hộ chung cư tại vùng Đông Nam Bộ</w:t>
        </w:r>
        <w:r w:rsidR="00704B4E">
          <w:rPr>
            <w:noProof/>
            <w:webHidden/>
          </w:rPr>
          <w:tab/>
        </w:r>
        <w:r w:rsidR="00704B4E">
          <w:rPr>
            <w:noProof/>
            <w:webHidden/>
          </w:rPr>
          <w:fldChar w:fldCharType="begin"/>
        </w:r>
        <w:r w:rsidR="00704B4E">
          <w:rPr>
            <w:noProof/>
            <w:webHidden/>
          </w:rPr>
          <w:instrText xml:space="preserve"> PAGEREF _Toc241064393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395" w:history="1">
        <w:r w:rsidR="00704B4E" w:rsidRPr="00BF5505">
          <w:rPr>
            <w:rStyle w:val="Hyperlink"/>
            <w:b/>
            <w:noProof/>
          </w:rPr>
          <w:t>4.2. Phân tích yếu tố ảnh hưởng tới quyết định mua căn hộ chung cư</w:t>
        </w:r>
        <w:r w:rsidR="00704B4E" w:rsidRPr="0037665A">
          <w:rPr>
            <w:rStyle w:val="Hyperlink"/>
            <w:noProof/>
          </w:rPr>
          <w:t>.</w:t>
        </w:r>
        <w:r w:rsidR="00704B4E">
          <w:rPr>
            <w:noProof/>
            <w:webHidden/>
          </w:rPr>
          <w:tab/>
        </w:r>
        <w:r w:rsidR="00704B4E">
          <w:rPr>
            <w:noProof/>
            <w:webHidden/>
          </w:rPr>
          <w:fldChar w:fldCharType="begin"/>
        </w:r>
        <w:r w:rsidR="00704B4E">
          <w:rPr>
            <w:noProof/>
            <w:webHidden/>
          </w:rPr>
          <w:instrText xml:space="preserve"> PAGEREF _Toc241064395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396" w:history="1">
        <w:r w:rsidR="00704B4E" w:rsidRPr="0037665A">
          <w:rPr>
            <w:rStyle w:val="Hyperlink"/>
            <w:b/>
            <w:i/>
            <w:noProof/>
          </w:rPr>
          <w:t>4.2.1.Thông tin mẫu điều tra</w:t>
        </w:r>
        <w:r w:rsidR="00704B4E">
          <w:rPr>
            <w:noProof/>
            <w:webHidden/>
          </w:rPr>
          <w:tab/>
        </w:r>
        <w:r w:rsidR="00704B4E">
          <w:rPr>
            <w:noProof/>
            <w:webHidden/>
          </w:rPr>
          <w:fldChar w:fldCharType="begin"/>
        </w:r>
        <w:r w:rsidR="00704B4E">
          <w:rPr>
            <w:noProof/>
            <w:webHidden/>
          </w:rPr>
          <w:instrText xml:space="preserve"> PAGEREF _Toc241064396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401" w:history="1">
        <w:r w:rsidR="00704B4E" w:rsidRPr="00BF5505">
          <w:rPr>
            <w:rStyle w:val="Hyperlink"/>
            <w:b/>
            <w:i/>
            <w:noProof/>
          </w:rPr>
          <w:t>4.2.2. Đánh giá mô hình đo lường</w:t>
        </w:r>
        <w:r w:rsidR="00704B4E">
          <w:rPr>
            <w:noProof/>
            <w:webHidden/>
          </w:rPr>
          <w:tab/>
        </w:r>
        <w:r w:rsidR="00704B4E">
          <w:rPr>
            <w:noProof/>
            <w:webHidden/>
          </w:rPr>
          <w:fldChar w:fldCharType="begin"/>
        </w:r>
        <w:r w:rsidR="00704B4E">
          <w:rPr>
            <w:noProof/>
            <w:webHidden/>
          </w:rPr>
          <w:instrText xml:space="preserve"> PAGEREF _Toc241064401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411" w:history="1">
        <w:r w:rsidR="00704B4E" w:rsidRPr="00BF5505">
          <w:rPr>
            <w:rStyle w:val="Hyperlink"/>
            <w:b/>
            <w:i/>
            <w:noProof/>
          </w:rPr>
          <w:t>4.2.3. Đánh giá mô hình cấu trúc</w:t>
        </w:r>
        <w:r w:rsidR="00704B4E">
          <w:rPr>
            <w:noProof/>
            <w:webHidden/>
          </w:rPr>
          <w:tab/>
        </w:r>
        <w:r w:rsidR="00704B4E">
          <w:rPr>
            <w:noProof/>
            <w:webHidden/>
          </w:rPr>
          <w:fldChar w:fldCharType="begin"/>
        </w:r>
        <w:r w:rsidR="00704B4E">
          <w:rPr>
            <w:noProof/>
            <w:webHidden/>
          </w:rPr>
          <w:instrText xml:space="preserve"> PAGEREF _Toc241064411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426" w:history="1">
        <w:r w:rsidR="00704B4E" w:rsidRPr="00BF5505">
          <w:rPr>
            <w:rStyle w:val="Hyperlink"/>
            <w:b/>
            <w:noProof/>
          </w:rPr>
          <w:t>4.3. Thảo luận kết quả phân tích</w:t>
        </w:r>
        <w:r w:rsidR="00704B4E">
          <w:rPr>
            <w:noProof/>
            <w:webHidden/>
          </w:rPr>
          <w:tab/>
        </w:r>
        <w:r w:rsidR="00704B4E">
          <w:rPr>
            <w:noProof/>
            <w:webHidden/>
          </w:rPr>
          <w:fldChar w:fldCharType="begin"/>
        </w:r>
        <w:r w:rsidR="00704B4E">
          <w:rPr>
            <w:noProof/>
            <w:webHidden/>
          </w:rPr>
          <w:instrText xml:space="preserve"> PAGEREF _Toc241064426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427" w:history="1">
        <w:r w:rsidR="00704B4E" w:rsidRPr="00BF5505">
          <w:rPr>
            <w:rStyle w:val="Hyperlink"/>
            <w:b/>
            <w:i/>
            <w:noProof/>
          </w:rPr>
          <w:t>4.3.1.Thảo luận tác động của các yếu tố trong phân tích mô hình</w:t>
        </w:r>
        <w:r w:rsidR="00704B4E">
          <w:rPr>
            <w:noProof/>
            <w:webHidden/>
          </w:rPr>
          <w:tab/>
        </w:r>
        <w:r w:rsidR="00704B4E">
          <w:rPr>
            <w:noProof/>
            <w:webHidden/>
          </w:rPr>
          <w:fldChar w:fldCharType="begin"/>
        </w:r>
        <w:r w:rsidR="00704B4E">
          <w:rPr>
            <w:noProof/>
            <w:webHidden/>
          </w:rPr>
          <w:instrText xml:space="preserve"> PAGEREF _Toc241064427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431" w:history="1">
        <w:r w:rsidR="00704B4E" w:rsidRPr="00BF5505">
          <w:rPr>
            <w:rStyle w:val="Hyperlink"/>
            <w:b/>
            <w:i/>
            <w:noProof/>
          </w:rPr>
          <w:t>4.3.2. Thảo luận mối quan hệ giữa Ý định mua và mức độ sẵn sàng ra quyết định mua</w:t>
        </w:r>
        <w:r w:rsidR="00704B4E">
          <w:rPr>
            <w:noProof/>
            <w:webHidden/>
          </w:rPr>
          <w:tab/>
        </w:r>
        <w:r w:rsidR="00704B4E">
          <w:rPr>
            <w:noProof/>
            <w:webHidden/>
          </w:rPr>
          <w:fldChar w:fldCharType="begin"/>
        </w:r>
        <w:r w:rsidR="00704B4E">
          <w:rPr>
            <w:noProof/>
            <w:webHidden/>
          </w:rPr>
          <w:instrText xml:space="preserve"> PAGEREF _Toc241064431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432" w:history="1">
        <w:r w:rsidR="00704B4E" w:rsidRPr="00BF5505">
          <w:rPr>
            <w:rStyle w:val="Hyperlink"/>
            <w:b/>
            <w:i/>
            <w:noProof/>
          </w:rPr>
          <w:t>4.3.3. Phân tích tổng hợp β, f² và R²</w:t>
        </w:r>
        <w:r w:rsidR="00704B4E">
          <w:rPr>
            <w:noProof/>
            <w:webHidden/>
          </w:rPr>
          <w:tab/>
        </w:r>
        <w:r w:rsidR="00704B4E">
          <w:rPr>
            <w:noProof/>
            <w:webHidden/>
          </w:rPr>
          <w:fldChar w:fldCharType="begin"/>
        </w:r>
        <w:r w:rsidR="00704B4E">
          <w:rPr>
            <w:noProof/>
            <w:webHidden/>
          </w:rPr>
          <w:instrText xml:space="preserve"> PAGEREF _Toc241064432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433" w:history="1">
        <w:r w:rsidR="00704B4E" w:rsidRPr="00BF5505">
          <w:rPr>
            <w:rStyle w:val="Hyperlink"/>
            <w:b/>
            <w:i/>
            <w:noProof/>
          </w:rPr>
          <w:t>4.3.4. Đối chiếu kết quả phân tích với  dữ liệu thứ cấp của thị trường và khoảng trống</w:t>
        </w:r>
        <w:r w:rsidR="00704B4E">
          <w:rPr>
            <w:noProof/>
            <w:webHidden/>
          </w:rPr>
          <w:tab/>
        </w:r>
        <w:r w:rsidR="00704B4E">
          <w:rPr>
            <w:noProof/>
            <w:webHidden/>
          </w:rPr>
          <w:fldChar w:fldCharType="begin"/>
        </w:r>
        <w:r w:rsidR="00704B4E">
          <w:rPr>
            <w:noProof/>
            <w:webHidden/>
          </w:rPr>
          <w:instrText xml:space="preserve"> PAGEREF _Toc241064433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438" w:history="1">
        <w:r w:rsidR="00704B4E" w:rsidRPr="00BF5505">
          <w:rPr>
            <w:rStyle w:val="Hyperlink"/>
            <w:b/>
            <w:i/>
            <w:noProof/>
          </w:rPr>
          <w:t>4.3.5. Phân tích ý nghĩa của kết quả nghiên cứu</w:t>
        </w:r>
        <w:r w:rsidR="00704B4E">
          <w:rPr>
            <w:noProof/>
            <w:webHidden/>
          </w:rPr>
          <w:tab/>
        </w:r>
        <w:r w:rsidR="00704B4E">
          <w:rPr>
            <w:noProof/>
            <w:webHidden/>
          </w:rPr>
          <w:fldChar w:fldCharType="begin"/>
        </w:r>
        <w:r w:rsidR="00704B4E">
          <w:rPr>
            <w:noProof/>
            <w:webHidden/>
          </w:rPr>
          <w:instrText xml:space="preserve"> PAGEREF _Toc241064438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442" w:history="1">
        <w:r w:rsidR="00704B4E" w:rsidRPr="0037665A">
          <w:rPr>
            <w:rStyle w:val="Hyperlink"/>
            <w:b/>
            <w:bCs/>
            <w:noProof/>
          </w:rPr>
          <w:t>KẾT LUẬN CHƯƠNG 4</w:t>
        </w:r>
        <w:r w:rsidR="00704B4E">
          <w:rPr>
            <w:noProof/>
            <w:webHidden/>
          </w:rPr>
          <w:tab/>
        </w:r>
        <w:r w:rsidR="00704B4E">
          <w:rPr>
            <w:noProof/>
            <w:webHidden/>
          </w:rPr>
          <w:fldChar w:fldCharType="begin"/>
        </w:r>
        <w:r w:rsidR="00704B4E">
          <w:rPr>
            <w:noProof/>
            <w:webHidden/>
          </w:rPr>
          <w:instrText xml:space="preserve"> PAGEREF _Toc241064442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443" w:history="1">
        <w:r w:rsidR="00704B4E" w:rsidRPr="00BF5505">
          <w:rPr>
            <w:rStyle w:val="Hyperlink"/>
            <w:b/>
            <w:noProof/>
          </w:rPr>
          <w:t>CHƯƠNG 5: KHUYẾN NGHỊ  HÀM Ý QUẢN TRỊ</w:t>
        </w:r>
        <w:r w:rsidR="00704B4E">
          <w:rPr>
            <w:noProof/>
            <w:webHidden/>
          </w:rPr>
          <w:tab/>
        </w:r>
        <w:r w:rsidR="00704B4E">
          <w:rPr>
            <w:noProof/>
            <w:webHidden/>
          </w:rPr>
          <w:fldChar w:fldCharType="begin"/>
        </w:r>
        <w:r w:rsidR="00704B4E">
          <w:rPr>
            <w:noProof/>
            <w:webHidden/>
          </w:rPr>
          <w:instrText xml:space="preserve"> PAGEREF _Toc241064443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444" w:history="1">
        <w:r w:rsidR="00704B4E" w:rsidRPr="00BF5505">
          <w:rPr>
            <w:rStyle w:val="Hyperlink"/>
            <w:b/>
            <w:noProof/>
          </w:rPr>
          <w:t>5.1. Xác lập được xu hướng và triển vọng thị trường căn hộ chung cư  tại vùng Đông Nam Bộ</w:t>
        </w:r>
        <w:r w:rsidR="00704B4E">
          <w:rPr>
            <w:noProof/>
            <w:webHidden/>
          </w:rPr>
          <w:tab/>
        </w:r>
        <w:r w:rsidR="00704B4E">
          <w:rPr>
            <w:noProof/>
            <w:webHidden/>
          </w:rPr>
          <w:fldChar w:fldCharType="begin"/>
        </w:r>
        <w:r w:rsidR="00704B4E">
          <w:rPr>
            <w:noProof/>
            <w:webHidden/>
          </w:rPr>
          <w:instrText xml:space="preserve"> PAGEREF _Toc241064444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445" w:history="1">
        <w:r w:rsidR="00704B4E" w:rsidRPr="00BF5505">
          <w:rPr>
            <w:rStyle w:val="Hyperlink"/>
            <w:b/>
            <w:i/>
            <w:noProof/>
          </w:rPr>
          <w:t>5.1.1. Xác lập xu hướng phát triển thị  trường chung cư</w:t>
        </w:r>
        <w:r w:rsidR="00704B4E">
          <w:rPr>
            <w:noProof/>
            <w:webHidden/>
          </w:rPr>
          <w:tab/>
        </w:r>
        <w:r w:rsidR="00704B4E">
          <w:rPr>
            <w:noProof/>
            <w:webHidden/>
          </w:rPr>
          <w:fldChar w:fldCharType="begin"/>
        </w:r>
        <w:r w:rsidR="00704B4E">
          <w:rPr>
            <w:noProof/>
            <w:webHidden/>
          </w:rPr>
          <w:instrText xml:space="preserve"> PAGEREF _Toc241064445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451" w:history="1">
        <w:r w:rsidR="00704B4E" w:rsidRPr="00BF5505">
          <w:rPr>
            <w:rStyle w:val="Hyperlink"/>
            <w:b/>
            <w:i/>
            <w:noProof/>
          </w:rPr>
          <w:t>5.1.2. Ba kịch bản phát triển thị trường đến năm 2035</w:t>
        </w:r>
        <w:r w:rsidR="00704B4E">
          <w:rPr>
            <w:noProof/>
            <w:webHidden/>
          </w:rPr>
          <w:tab/>
        </w:r>
        <w:r w:rsidR="00704B4E">
          <w:rPr>
            <w:noProof/>
            <w:webHidden/>
          </w:rPr>
          <w:fldChar w:fldCharType="begin"/>
        </w:r>
        <w:r w:rsidR="00704B4E">
          <w:rPr>
            <w:noProof/>
            <w:webHidden/>
          </w:rPr>
          <w:instrText xml:space="preserve"> PAGEREF _Toc241064451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452" w:history="1">
        <w:r w:rsidR="00704B4E" w:rsidRPr="00BF5505">
          <w:rPr>
            <w:rStyle w:val="Hyperlink"/>
            <w:b/>
            <w:noProof/>
          </w:rPr>
          <w:t>5.2. Khai thác các kết quả của luận án để giải thích cho thực tiễn</w:t>
        </w:r>
        <w:r w:rsidR="00704B4E">
          <w:rPr>
            <w:noProof/>
            <w:webHidden/>
          </w:rPr>
          <w:tab/>
        </w:r>
        <w:r w:rsidR="00704B4E">
          <w:rPr>
            <w:noProof/>
            <w:webHidden/>
          </w:rPr>
          <w:fldChar w:fldCharType="begin"/>
        </w:r>
        <w:r w:rsidR="00704B4E">
          <w:rPr>
            <w:noProof/>
            <w:webHidden/>
          </w:rPr>
          <w:instrText xml:space="preserve"> PAGEREF _Toc241064452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453" w:history="1">
        <w:r w:rsidR="00704B4E" w:rsidRPr="00BF5505">
          <w:rPr>
            <w:rStyle w:val="Hyperlink"/>
            <w:b/>
            <w:i/>
            <w:noProof/>
          </w:rPr>
          <w:t>5.2.1. Khai thác  kết quả nghiên cứu liên quan khoảng trống nghiên cứu</w:t>
        </w:r>
        <w:r w:rsidR="00704B4E">
          <w:rPr>
            <w:noProof/>
            <w:webHidden/>
          </w:rPr>
          <w:tab/>
        </w:r>
        <w:r w:rsidR="00704B4E">
          <w:rPr>
            <w:noProof/>
            <w:webHidden/>
          </w:rPr>
          <w:fldChar w:fldCharType="begin"/>
        </w:r>
        <w:r w:rsidR="00704B4E">
          <w:rPr>
            <w:noProof/>
            <w:webHidden/>
          </w:rPr>
          <w:instrText xml:space="preserve"> PAGEREF _Toc241064453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BF5505" w:rsidRDefault="002E378C" w:rsidP="00BF5505">
      <w:pPr>
        <w:pStyle w:val="TOC3"/>
        <w:tabs>
          <w:tab w:val="right" w:leader="dot" w:pos="8835"/>
        </w:tabs>
        <w:ind w:left="0" w:firstLine="0"/>
        <w:rPr>
          <w:rStyle w:val="Hyperlink"/>
          <w:noProof/>
        </w:rPr>
      </w:pPr>
      <w:hyperlink w:anchor="_Toc241064454" w:history="1">
        <w:r w:rsidR="00704B4E" w:rsidRPr="00BF5505">
          <w:rPr>
            <w:rStyle w:val="Hyperlink"/>
            <w:b/>
            <w:i/>
            <w:noProof/>
          </w:rPr>
          <w:t>5.2.2. Khai thác kết quả nghiên cứu để giải thích  sự đồng thời tồn tại của cơ chế tâm lý, xã hội và kinh tế trong Ý định mua</w:t>
        </w:r>
        <w:r w:rsidR="00704B4E">
          <w:rPr>
            <w:noProof/>
            <w:webHidden/>
          </w:rPr>
          <w:tab/>
        </w:r>
        <w:r w:rsidR="00704B4E">
          <w:rPr>
            <w:noProof/>
            <w:webHidden/>
          </w:rPr>
          <w:fldChar w:fldCharType="begin"/>
        </w:r>
        <w:r w:rsidR="00704B4E">
          <w:rPr>
            <w:noProof/>
            <w:webHidden/>
          </w:rPr>
          <w:instrText xml:space="preserve"> PAGEREF _Toc241064454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BF5505" w:rsidRPr="00BF5505" w:rsidRDefault="00BF5505" w:rsidP="00BF5505">
      <w:pPr>
        <w:pStyle w:val="TOC3"/>
        <w:tabs>
          <w:tab w:val="right" w:leader="dot" w:pos="8835"/>
        </w:tabs>
        <w:ind w:left="0" w:firstLine="0"/>
        <w:rPr>
          <w:noProof/>
          <w:color w:val="467886"/>
          <w:u w:val="single"/>
        </w:rPr>
      </w:pPr>
      <w:r w:rsidRPr="007B644D">
        <w:rPr>
          <w:b/>
          <w:i/>
        </w:rPr>
        <w:t>5.2.3. Sử dụng kết quả nghiên cứu để giải  thích quan hệ  Ý định mua và khoảng cách ý định – hành động</w:t>
      </w:r>
      <w:r>
        <w:rPr>
          <w:b/>
          <w:i/>
        </w:rPr>
        <w:tab/>
        <w:t>135</w:t>
      </w:r>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455" w:history="1">
        <w:r w:rsidR="00704B4E" w:rsidRPr="00BF5505">
          <w:rPr>
            <w:rStyle w:val="Hyperlink"/>
            <w:b/>
            <w:i/>
            <w:noProof/>
          </w:rPr>
          <w:t>5.2.4. Sử dụng kết quả nghiên cứu đẻ giải thích  Ý nghĩa của các tác động gián tiếpđén quyết định mua căn hộ chung cư vùng Đông Nam Bộ</w:t>
        </w:r>
        <w:r w:rsidR="00704B4E">
          <w:rPr>
            <w:noProof/>
            <w:webHidden/>
          </w:rPr>
          <w:tab/>
        </w:r>
        <w:r w:rsidR="00704B4E">
          <w:rPr>
            <w:noProof/>
            <w:webHidden/>
          </w:rPr>
          <w:fldChar w:fldCharType="begin"/>
        </w:r>
        <w:r w:rsidR="00704B4E">
          <w:rPr>
            <w:noProof/>
            <w:webHidden/>
          </w:rPr>
          <w:instrText xml:space="preserve"> PAGEREF _Toc241064455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2"/>
        <w:ind w:left="0" w:firstLine="0"/>
        <w:rPr>
          <w:rFonts w:asciiTheme="minorHAnsi" w:eastAsiaTheme="minorEastAsia" w:hAnsiTheme="minorHAnsi" w:cstheme="minorBidi"/>
          <w:bCs w:val="0"/>
          <w:noProof/>
          <w:color w:val="auto"/>
          <w:sz w:val="22"/>
        </w:rPr>
      </w:pPr>
      <w:hyperlink w:anchor="_Toc241064456" w:history="1">
        <w:r w:rsidR="00704B4E" w:rsidRPr="00BF5505">
          <w:rPr>
            <w:rStyle w:val="Hyperlink"/>
            <w:b/>
            <w:noProof/>
          </w:rPr>
          <w:t>5.3. Khai thác các kết quả  phân tích yếu tố ảnh hưởng cho quản trị các yếu tố và quản trị theo địa bàn</w:t>
        </w:r>
        <w:r w:rsidR="00704B4E">
          <w:rPr>
            <w:noProof/>
            <w:webHidden/>
          </w:rPr>
          <w:tab/>
        </w:r>
        <w:r w:rsidR="00704B4E">
          <w:rPr>
            <w:noProof/>
            <w:webHidden/>
          </w:rPr>
          <w:fldChar w:fldCharType="begin"/>
        </w:r>
        <w:r w:rsidR="00704B4E">
          <w:rPr>
            <w:noProof/>
            <w:webHidden/>
          </w:rPr>
          <w:instrText xml:space="preserve"> PAGEREF _Toc241064456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457" w:history="1">
        <w:r w:rsidR="00704B4E" w:rsidRPr="0037665A">
          <w:rPr>
            <w:rStyle w:val="Hyperlink"/>
            <w:b/>
            <w:i/>
            <w:noProof/>
          </w:rPr>
          <w:t>5.3.1.Hàm ý quản trị theo các yếu tố</w:t>
        </w:r>
        <w:r w:rsidR="00704B4E">
          <w:rPr>
            <w:noProof/>
            <w:webHidden/>
          </w:rPr>
          <w:tab/>
        </w:r>
        <w:r w:rsidR="00704B4E">
          <w:rPr>
            <w:noProof/>
            <w:webHidden/>
          </w:rPr>
          <w:fldChar w:fldCharType="begin"/>
        </w:r>
        <w:r w:rsidR="00704B4E">
          <w:rPr>
            <w:noProof/>
            <w:webHidden/>
          </w:rPr>
          <w:instrText xml:space="preserve"> PAGEREF _Toc241064457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463" w:history="1">
        <w:r w:rsidR="00704B4E" w:rsidRPr="00BF5505">
          <w:rPr>
            <w:rStyle w:val="Hyperlink"/>
            <w:b/>
            <w:i/>
            <w:noProof/>
          </w:rPr>
          <w:t>5.3.2. Hàm ý quản trị theo địa bàn</w:t>
        </w:r>
        <w:r w:rsidR="00704B4E">
          <w:rPr>
            <w:noProof/>
            <w:webHidden/>
          </w:rPr>
          <w:tab/>
        </w:r>
        <w:r w:rsidR="00704B4E">
          <w:rPr>
            <w:noProof/>
            <w:webHidden/>
          </w:rPr>
          <w:fldChar w:fldCharType="begin"/>
        </w:r>
        <w:r w:rsidR="00704B4E">
          <w:rPr>
            <w:noProof/>
            <w:webHidden/>
          </w:rPr>
          <w:instrText xml:space="preserve"> PAGEREF _Toc241064463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3"/>
        <w:tabs>
          <w:tab w:val="right" w:leader="dot" w:pos="8835"/>
        </w:tabs>
        <w:ind w:left="0" w:firstLine="0"/>
        <w:rPr>
          <w:rFonts w:asciiTheme="minorHAnsi" w:eastAsiaTheme="minorEastAsia" w:hAnsiTheme="minorHAnsi" w:cstheme="minorBidi"/>
          <w:noProof/>
          <w:color w:val="auto"/>
          <w:sz w:val="22"/>
        </w:rPr>
      </w:pPr>
      <w:hyperlink w:anchor="_Toc241064464" w:history="1">
        <w:r w:rsidR="00704B4E" w:rsidRPr="00BF5505">
          <w:rPr>
            <w:rStyle w:val="Hyperlink"/>
            <w:b/>
            <w:i/>
            <w:noProof/>
          </w:rPr>
          <w:t>5.3.3. Hàm ý chính sách</w:t>
        </w:r>
        <w:r w:rsidR="00704B4E">
          <w:rPr>
            <w:noProof/>
            <w:webHidden/>
          </w:rPr>
          <w:tab/>
        </w:r>
        <w:r w:rsidR="00704B4E">
          <w:rPr>
            <w:noProof/>
            <w:webHidden/>
          </w:rPr>
          <w:fldChar w:fldCharType="begin"/>
        </w:r>
        <w:r w:rsidR="00704B4E">
          <w:rPr>
            <w:noProof/>
            <w:webHidden/>
          </w:rPr>
          <w:instrText xml:space="preserve"> PAGEREF _Toc241064464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465" w:history="1">
        <w:r w:rsidR="00704B4E" w:rsidRPr="00BF5505">
          <w:rPr>
            <w:rStyle w:val="Hyperlink"/>
            <w:b/>
            <w:noProof/>
          </w:rPr>
          <w:t>TÓM TẮT CHƯƠNG 5</w:t>
        </w:r>
        <w:r w:rsidR="00704B4E">
          <w:rPr>
            <w:noProof/>
            <w:webHidden/>
          </w:rPr>
          <w:tab/>
        </w:r>
        <w:r w:rsidR="00704B4E">
          <w:rPr>
            <w:noProof/>
            <w:webHidden/>
          </w:rPr>
          <w:fldChar w:fldCharType="begin"/>
        </w:r>
        <w:r w:rsidR="00704B4E">
          <w:rPr>
            <w:noProof/>
            <w:webHidden/>
          </w:rPr>
          <w:instrText xml:space="preserve"> PAGEREF _Toc241064465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470" w:history="1">
        <w:r w:rsidR="00704B4E" w:rsidRPr="00BF5505">
          <w:rPr>
            <w:rStyle w:val="Hyperlink"/>
            <w:b/>
            <w:noProof/>
          </w:rPr>
          <w:t>KẾT LUẬN</w:t>
        </w:r>
        <w:r w:rsidR="00704B4E">
          <w:rPr>
            <w:noProof/>
            <w:webHidden/>
          </w:rPr>
          <w:tab/>
        </w:r>
        <w:r w:rsidR="00704B4E">
          <w:rPr>
            <w:noProof/>
            <w:webHidden/>
          </w:rPr>
          <w:fldChar w:fldCharType="begin"/>
        </w:r>
        <w:r w:rsidR="00704B4E">
          <w:rPr>
            <w:noProof/>
            <w:webHidden/>
          </w:rPr>
          <w:instrText xml:space="preserve"> PAGEREF _Toc241064470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471" w:history="1">
        <w:r w:rsidR="00704B4E" w:rsidRPr="00BF5505">
          <w:rPr>
            <w:rStyle w:val="Hyperlink"/>
            <w:b/>
            <w:noProof/>
          </w:rPr>
          <w:t>TÀI LIỆU THAM KHẢO</w:t>
        </w:r>
        <w:r w:rsidR="00704B4E">
          <w:rPr>
            <w:noProof/>
            <w:webHidden/>
          </w:rPr>
          <w:tab/>
        </w:r>
        <w:r w:rsidR="00704B4E">
          <w:rPr>
            <w:noProof/>
            <w:webHidden/>
          </w:rPr>
          <w:fldChar w:fldCharType="begin"/>
        </w:r>
        <w:r w:rsidR="00704B4E">
          <w:rPr>
            <w:noProof/>
            <w:webHidden/>
          </w:rPr>
          <w:instrText xml:space="preserve"> PAGEREF _Toc241064471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04B4E" w:rsidRDefault="002E378C" w:rsidP="00BF5505">
      <w:pPr>
        <w:pStyle w:val="TOC1"/>
        <w:tabs>
          <w:tab w:val="right" w:leader="dot" w:pos="8835"/>
        </w:tabs>
        <w:spacing w:after="0" w:line="360" w:lineRule="auto"/>
        <w:ind w:left="0"/>
        <w:rPr>
          <w:rFonts w:asciiTheme="minorHAnsi" w:eastAsiaTheme="minorEastAsia" w:hAnsiTheme="minorHAnsi" w:cstheme="minorBidi"/>
          <w:noProof/>
          <w:color w:val="auto"/>
          <w:sz w:val="22"/>
        </w:rPr>
      </w:pPr>
      <w:hyperlink w:anchor="_Toc241064474" w:history="1">
        <w:r w:rsidR="00704B4E" w:rsidRPr="00BF5505">
          <w:rPr>
            <w:rStyle w:val="Hyperlink"/>
            <w:b/>
            <w:noProof/>
          </w:rPr>
          <w:t>PHỤ LỤC</w:t>
        </w:r>
        <w:r w:rsidR="00704B4E">
          <w:rPr>
            <w:noProof/>
            <w:webHidden/>
          </w:rPr>
          <w:tab/>
        </w:r>
        <w:r w:rsidR="00704B4E">
          <w:rPr>
            <w:noProof/>
            <w:webHidden/>
          </w:rPr>
          <w:fldChar w:fldCharType="begin"/>
        </w:r>
        <w:r w:rsidR="00704B4E">
          <w:rPr>
            <w:noProof/>
            <w:webHidden/>
          </w:rPr>
          <w:instrText xml:space="preserve"> PAGEREF _Toc241064474 \h </w:instrText>
        </w:r>
        <w:r w:rsidR="00704B4E">
          <w:rPr>
            <w:noProof/>
            <w:webHidden/>
          </w:rPr>
        </w:r>
        <w:r w:rsidR="00704B4E">
          <w:rPr>
            <w:noProof/>
            <w:webHidden/>
          </w:rPr>
          <w:fldChar w:fldCharType="separate"/>
        </w:r>
        <w:r w:rsidR="00783A1B">
          <w:rPr>
            <w:noProof/>
            <w:webHidden/>
          </w:rPr>
          <w:t>2</w:t>
        </w:r>
        <w:r w:rsidR="00704B4E">
          <w:rPr>
            <w:noProof/>
            <w:webHidden/>
          </w:rPr>
          <w:fldChar w:fldCharType="end"/>
        </w:r>
      </w:hyperlink>
    </w:p>
    <w:p w:rsidR="00764EB5" w:rsidRDefault="00704B4E" w:rsidP="00BF5505">
      <w:pPr>
        <w:pStyle w:val="TOC1"/>
        <w:tabs>
          <w:tab w:val="right" w:leader="dot" w:pos="8844"/>
        </w:tabs>
        <w:spacing w:after="0" w:line="360" w:lineRule="auto"/>
        <w:ind w:left="0"/>
        <w:rPr>
          <w:color w:val="auto"/>
        </w:rPr>
      </w:pPr>
      <w:r>
        <w:rPr>
          <w:color w:val="auto"/>
        </w:rPr>
        <w:fldChar w:fldCharType="end"/>
      </w:r>
    </w:p>
    <w:p w:rsidR="00764EB5" w:rsidRDefault="00DF13CC" w:rsidP="00BF5505">
      <w:pPr>
        <w:ind w:firstLine="0"/>
        <w:rPr>
          <w:color w:val="auto"/>
        </w:rPr>
      </w:pPr>
      <w:r>
        <w:rPr>
          <w:color w:val="auto"/>
        </w:rPr>
        <w:br w:type="page"/>
      </w:r>
    </w:p>
    <w:p w:rsidR="00764EB5" w:rsidRDefault="00DF13CC">
      <w:pPr>
        <w:pStyle w:val="Heading1"/>
        <w:rPr>
          <w:rFonts w:ascii="Times New Roman" w:hAnsi="Times New Roman"/>
          <w:color w:val="auto"/>
        </w:rPr>
      </w:pPr>
      <w:bookmarkStart w:id="10" w:name="_Toc174537654"/>
      <w:bookmarkStart w:id="11" w:name="_Toc241062403"/>
      <w:bookmarkStart w:id="12" w:name="_Toc241064318"/>
      <w:bookmarkStart w:id="13" w:name="_Toc241065251"/>
      <w:bookmarkStart w:id="14" w:name="_Toc241065462"/>
      <w:bookmarkStart w:id="15" w:name="_Toc234224063"/>
      <w:bookmarkStart w:id="16" w:name="_Toc238480570"/>
      <w:bookmarkStart w:id="17" w:name="_Toc227561036"/>
      <w:bookmarkEnd w:id="10"/>
      <w:r>
        <w:rPr>
          <w:rFonts w:ascii="Times New Roman" w:hAnsi="Times New Roman"/>
          <w:color w:val="auto"/>
        </w:rPr>
        <w:lastRenderedPageBreak/>
        <w:t xml:space="preserve">DANH MỤC BẢNG </w:t>
      </w:r>
      <w:bookmarkEnd w:id="11"/>
      <w:bookmarkEnd w:id="12"/>
      <w:bookmarkEnd w:id="13"/>
      <w:bookmarkEnd w:id="14"/>
    </w:p>
    <w:p w:rsidR="00BF5505" w:rsidRPr="00BF5505" w:rsidRDefault="00BF5505" w:rsidP="00BF5505">
      <w:pPr>
        <w:rPr>
          <w:sz w:val="12"/>
        </w:rPr>
      </w:pPr>
    </w:p>
    <w:p w:rsidR="00BF5505" w:rsidRDefault="00BF5505" w:rsidP="00BF5505">
      <w:pPr>
        <w:pStyle w:val="TOC1"/>
        <w:tabs>
          <w:tab w:val="right" w:leader="dot" w:pos="8835"/>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241065480" w:history="1">
        <w:r w:rsidRPr="00B319D6">
          <w:rPr>
            <w:rStyle w:val="Hyperlink"/>
            <w:noProof/>
          </w:rPr>
          <w:t>Bảng 1.1. So sánh các nghiên cứu trong nước</w:t>
        </w:r>
        <w:r>
          <w:rPr>
            <w:noProof/>
            <w:webHidden/>
          </w:rPr>
          <w:tab/>
        </w:r>
        <w:r>
          <w:rPr>
            <w:noProof/>
            <w:webHidden/>
          </w:rPr>
          <w:fldChar w:fldCharType="begin"/>
        </w:r>
        <w:r>
          <w:rPr>
            <w:noProof/>
            <w:webHidden/>
          </w:rPr>
          <w:instrText xml:space="preserve"> PAGEREF _Toc241065480 \h </w:instrText>
        </w:r>
        <w:r>
          <w:rPr>
            <w:noProof/>
            <w:webHidden/>
          </w:rPr>
        </w:r>
        <w:r>
          <w:rPr>
            <w:noProof/>
            <w:webHidden/>
          </w:rPr>
          <w:fldChar w:fldCharType="separate"/>
        </w:r>
        <w:r w:rsidR="00783A1B">
          <w:rPr>
            <w:noProof/>
            <w:webHidden/>
          </w:rPr>
          <w:t>2</w:t>
        </w:r>
        <w:r>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482" w:history="1">
        <w:r w:rsidR="00BF5505" w:rsidRPr="00B319D6">
          <w:rPr>
            <w:rStyle w:val="Hyperlink"/>
            <w:noProof/>
          </w:rPr>
          <w:t>Bảng 1.2. So sánh các nghiên cứu liên quan trên thế giới</w:t>
        </w:r>
        <w:r w:rsidR="00BF5505">
          <w:rPr>
            <w:noProof/>
            <w:webHidden/>
          </w:rPr>
          <w:tab/>
        </w:r>
        <w:r w:rsidR="00BF5505">
          <w:rPr>
            <w:noProof/>
            <w:webHidden/>
          </w:rPr>
          <w:fldChar w:fldCharType="begin"/>
        </w:r>
        <w:r w:rsidR="00BF5505">
          <w:rPr>
            <w:noProof/>
            <w:webHidden/>
          </w:rPr>
          <w:instrText xml:space="preserve"> PAGEREF _Toc241065482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497" w:history="1">
        <w:r w:rsidR="00BF5505" w:rsidRPr="00B319D6">
          <w:rPr>
            <w:rStyle w:val="Hyperlink"/>
            <w:noProof/>
          </w:rPr>
          <w:t>Bảng 2.1. So sánh các nhóm khách hàng mua căn hộ chung cư1</w:t>
        </w:r>
        <w:r w:rsidR="00BF5505">
          <w:rPr>
            <w:noProof/>
            <w:webHidden/>
          </w:rPr>
          <w:tab/>
        </w:r>
        <w:r w:rsidR="00BF5505">
          <w:rPr>
            <w:noProof/>
            <w:webHidden/>
          </w:rPr>
          <w:fldChar w:fldCharType="begin"/>
        </w:r>
        <w:r w:rsidR="00BF5505">
          <w:rPr>
            <w:noProof/>
            <w:webHidden/>
          </w:rPr>
          <w:instrText xml:space="preserve"> PAGEREF _Toc241065497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03" w:history="1">
        <w:r w:rsidR="00BF5505" w:rsidRPr="00B319D6">
          <w:rPr>
            <w:rStyle w:val="Hyperlink"/>
            <w:noProof/>
          </w:rPr>
          <w:t>Bảng 2.2. So sánh các lý thuyết bổ trợ và đóng góp vào mô hình nghiên cứu</w:t>
        </w:r>
        <w:r w:rsidR="00BF5505">
          <w:rPr>
            <w:noProof/>
            <w:webHidden/>
          </w:rPr>
          <w:tab/>
        </w:r>
        <w:r w:rsidR="00BF5505">
          <w:rPr>
            <w:noProof/>
            <w:webHidden/>
          </w:rPr>
          <w:fldChar w:fldCharType="begin"/>
        </w:r>
        <w:r w:rsidR="00BF5505">
          <w:rPr>
            <w:noProof/>
            <w:webHidden/>
          </w:rPr>
          <w:instrText xml:space="preserve"> PAGEREF _Toc241065503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Style w:val="Hyperlink"/>
          <w:noProof/>
        </w:rPr>
      </w:pPr>
      <w:hyperlink w:anchor="_Toc241065510" w:history="1">
        <w:r w:rsidR="00BF5505" w:rsidRPr="00B319D6">
          <w:rPr>
            <w:rStyle w:val="Hyperlink"/>
            <w:noProof/>
          </w:rPr>
          <w:t>Bảng 2.3. Tổng hợp các nhóm yếu tố cho mô hình nghiên cứu dự kiến</w:t>
        </w:r>
        <w:r w:rsidR="00BF5505">
          <w:rPr>
            <w:noProof/>
            <w:webHidden/>
          </w:rPr>
          <w:tab/>
        </w:r>
        <w:r w:rsidR="00BF5505">
          <w:rPr>
            <w:noProof/>
            <w:webHidden/>
          </w:rPr>
          <w:fldChar w:fldCharType="begin"/>
        </w:r>
        <w:r w:rsidR="00BF5505">
          <w:rPr>
            <w:noProof/>
            <w:webHidden/>
          </w:rPr>
          <w:instrText xml:space="preserve"> PAGEREF _Toc241065510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30" w:history="1">
        <w:r w:rsidR="00BF5505" w:rsidRPr="00B319D6">
          <w:rPr>
            <w:rStyle w:val="Hyperlink"/>
            <w:noProof/>
          </w:rPr>
          <w:t>Bảng 3.1. Thang đo Thái độ đối với căn hộ chung cư (TD)</w:t>
        </w:r>
        <w:r w:rsidR="00BF5505">
          <w:rPr>
            <w:noProof/>
            <w:webHidden/>
          </w:rPr>
          <w:tab/>
        </w:r>
        <w:r w:rsidR="00BF5505">
          <w:rPr>
            <w:noProof/>
            <w:webHidden/>
          </w:rPr>
          <w:fldChar w:fldCharType="begin"/>
        </w:r>
        <w:r w:rsidR="00BF5505">
          <w:rPr>
            <w:noProof/>
            <w:webHidden/>
          </w:rPr>
          <w:instrText xml:space="preserve"> PAGEREF _Toc241065530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31" w:history="1">
        <w:r w:rsidR="00BF5505" w:rsidRPr="00B319D6">
          <w:rPr>
            <w:rStyle w:val="Hyperlink"/>
            <w:noProof/>
          </w:rPr>
          <w:t>Bảng 3.2. Thang đo Chuẩn chủ quan (CCQ)</w:t>
        </w:r>
        <w:r w:rsidR="00BF5505">
          <w:rPr>
            <w:noProof/>
            <w:webHidden/>
          </w:rPr>
          <w:tab/>
        </w:r>
        <w:r w:rsidR="00BF5505">
          <w:rPr>
            <w:noProof/>
            <w:webHidden/>
          </w:rPr>
          <w:fldChar w:fldCharType="begin"/>
        </w:r>
        <w:r w:rsidR="00BF5505">
          <w:rPr>
            <w:noProof/>
            <w:webHidden/>
          </w:rPr>
          <w:instrText xml:space="preserve"> PAGEREF _Toc241065531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32" w:history="1">
        <w:r w:rsidR="00BF5505" w:rsidRPr="00B319D6">
          <w:rPr>
            <w:rStyle w:val="Hyperlink"/>
            <w:noProof/>
          </w:rPr>
          <w:t>Bảng 3.3. Thang đo Nhận thức kiểm soát hành vi (NTHV)</w:t>
        </w:r>
        <w:r w:rsidR="00BF5505">
          <w:rPr>
            <w:noProof/>
            <w:webHidden/>
          </w:rPr>
          <w:tab/>
        </w:r>
        <w:r w:rsidR="00BF5505">
          <w:rPr>
            <w:noProof/>
            <w:webHidden/>
          </w:rPr>
          <w:fldChar w:fldCharType="begin"/>
        </w:r>
        <w:r w:rsidR="00BF5505">
          <w:rPr>
            <w:noProof/>
            <w:webHidden/>
          </w:rPr>
          <w:instrText xml:space="preserve"> PAGEREF _Toc241065532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33" w:history="1">
        <w:r w:rsidR="00BF5505" w:rsidRPr="00B319D6">
          <w:rPr>
            <w:rStyle w:val="Hyperlink"/>
            <w:noProof/>
          </w:rPr>
          <w:t>Bảng 3.4. Thang đo Giá trị cảm nhận căn hộ (GTCN)</w:t>
        </w:r>
        <w:r w:rsidR="00BF5505">
          <w:rPr>
            <w:noProof/>
            <w:webHidden/>
          </w:rPr>
          <w:tab/>
        </w:r>
        <w:r w:rsidR="00BF5505">
          <w:rPr>
            <w:noProof/>
            <w:webHidden/>
          </w:rPr>
          <w:fldChar w:fldCharType="begin"/>
        </w:r>
        <w:r w:rsidR="00BF5505">
          <w:rPr>
            <w:noProof/>
            <w:webHidden/>
          </w:rPr>
          <w:instrText xml:space="preserve"> PAGEREF _Toc241065533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34" w:history="1">
        <w:r w:rsidR="00BF5505" w:rsidRPr="00B319D6">
          <w:rPr>
            <w:rStyle w:val="Hyperlink"/>
            <w:noProof/>
          </w:rPr>
          <w:t>Bảng 3.5. Thang đo Ý định mua (YDM)</w:t>
        </w:r>
        <w:r w:rsidR="00BF5505">
          <w:rPr>
            <w:noProof/>
            <w:webHidden/>
          </w:rPr>
          <w:tab/>
        </w:r>
        <w:r w:rsidR="00BF5505">
          <w:rPr>
            <w:noProof/>
            <w:webHidden/>
          </w:rPr>
          <w:fldChar w:fldCharType="begin"/>
        </w:r>
        <w:r w:rsidR="00BF5505">
          <w:rPr>
            <w:noProof/>
            <w:webHidden/>
          </w:rPr>
          <w:instrText xml:space="preserve"> PAGEREF _Toc241065534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35" w:history="1">
        <w:r w:rsidR="00BF5505" w:rsidRPr="00B319D6">
          <w:rPr>
            <w:rStyle w:val="Hyperlink"/>
            <w:noProof/>
          </w:rPr>
          <w:t>Bảng 3.6. Thang đo Mức độ sẵn sàng ra quyết định mua (QDM)</w:t>
        </w:r>
        <w:r w:rsidR="00BF5505">
          <w:rPr>
            <w:noProof/>
            <w:webHidden/>
          </w:rPr>
          <w:tab/>
        </w:r>
        <w:r w:rsidR="00BF5505">
          <w:rPr>
            <w:noProof/>
            <w:webHidden/>
          </w:rPr>
          <w:fldChar w:fldCharType="begin"/>
        </w:r>
        <w:r w:rsidR="00BF5505">
          <w:rPr>
            <w:noProof/>
            <w:webHidden/>
          </w:rPr>
          <w:instrText xml:space="preserve"> PAGEREF _Toc241065535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39" w:history="1">
        <w:r w:rsidR="00BF5505" w:rsidRPr="00B319D6">
          <w:rPr>
            <w:rStyle w:val="Hyperlink"/>
            <w:noProof/>
          </w:rPr>
          <w:t>Bảng 3.7. Thống kê mô tả thang đo</w:t>
        </w:r>
        <w:r w:rsidR="00BF5505">
          <w:rPr>
            <w:noProof/>
            <w:webHidden/>
          </w:rPr>
          <w:tab/>
        </w:r>
        <w:r w:rsidR="00BF5505">
          <w:rPr>
            <w:noProof/>
            <w:webHidden/>
          </w:rPr>
          <w:fldChar w:fldCharType="begin"/>
        </w:r>
        <w:r w:rsidR="00BF5505">
          <w:rPr>
            <w:noProof/>
            <w:webHidden/>
          </w:rPr>
          <w:instrText xml:space="preserve"> PAGEREF _Toc241065539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48" w:history="1">
        <w:r w:rsidR="00BF5505" w:rsidRPr="00B319D6">
          <w:rPr>
            <w:rStyle w:val="Hyperlink"/>
            <w:iCs/>
            <w:noProof/>
          </w:rPr>
          <w:t xml:space="preserve">Bảng 4.1. </w:t>
        </w:r>
        <w:r w:rsidR="00BF5505" w:rsidRPr="00B319D6">
          <w:rPr>
            <w:rStyle w:val="Hyperlink"/>
            <w:noProof/>
          </w:rPr>
          <w:t>Thống kê kết quả câu hỏi sàng lọc (A2–A4)</w:t>
        </w:r>
        <w:r w:rsidR="00BF5505">
          <w:rPr>
            <w:noProof/>
            <w:webHidden/>
          </w:rPr>
          <w:tab/>
        </w:r>
        <w:r w:rsidR="00BF5505">
          <w:rPr>
            <w:noProof/>
            <w:webHidden/>
          </w:rPr>
          <w:fldChar w:fldCharType="begin"/>
        </w:r>
        <w:r w:rsidR="00BF5505">
          <w:rPr>
            <w:noProof/>
            <w:webHidden/>
          </w:rPr>
          <w:instrText xml:space="preserve"> PAGEREF _Toc241065548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50" w:history="1">
        <w:r w:rsidR="00BF5505" w:rsidRPr="00B319D6">
          <w:rPr>
            <w:rStyle w:val="Hyperlink"/>
            <w:noProof/>
          </w:rPr>
          <w:t>Bảng 4.2. Thống kê mẫu khảo sát</w:t>
        </w:r>
        <w:r w:rsidR="00BF5505">
          <w:rPr>
            <w:noProof/>
            <w:webHidden/>
          </w:rPr>
          <w:tab/>
        </w:r>
        <w:r w:rsidR="00BF5505">
          <w:rPr>
            <w:noProof/>
            <w:webHidden/>
          </w:rPr>
          <w:fldChar w:fldCharType="begin"/>
        </w:r>
        <w:r w:rsidR="00BF5505">
          <w:rPr>
            <w:noProof/>
            <w:webHidden/>
          </w:rPr>
          <w:instrText xml:space="preserve"> PAGEREF _Toc241065550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54" w:history="1">
        <w:r w:rsidR="00BF5505" w:rsidRPr="00B319D6">
          <w:rPr>
            <w:rStyle w:val="Hyperlink"/>
            <w:noProof/>
          </w:rPr>
          <w:t>Bảng 4.3. Độ tin cậy và giá trị hội tụ của thang đo</w:t>
        </w:r>
        <w:r w:rsidR="00BF5505">
          <w:rPr>
            <w:noProof/>
            <w:webHidden/>
          </w:rPr>
          <w:tab/>
        </w:r>
        <w:r w:rsidR="00BF5505">
          <w:rPr>
            <w:noProof/>
            <w:webHidden/>
          </w:rPr>
          <w:fldChar w:fldCharType="begin"/>
        </w:r>
        <w:r w:rsidR="00BF5505">
          <w:rPr>
            <w:noProof/>
            <w:webHidden/>
          </w:rPr>
          <w:instrText xml:space="preserve"> PAGEREF _Toc241065554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56" w:history="1">
        <w:r w:rsidR="00BF5505" w:rsidRPr="00B319D6">
          <w:rPr>
            <w:rStyle w:val="Hyperlink"/>
            <w:noProof/>
          </w:rPr>
          <w:t>Bảng 4.4. Hệ số tải ngoài của các biến quan sát</w:t>
        </w:r>
        <w:r w:rsidR="00BF5505">
          <w:rPr>
            <w:noProof/>
            <w:webHidden/>
          </w:rPr>
          <w:tab/>
        </w:r>
        <w:r w:rsidR="00BF5505">
          <w:rPr>
            <w:noProof/>
            <w:webHidden/>
          </w:rPr>
          <w:fldChar w:fldCharType="begin"/>
        </w:r>
        <w:r w:rsidR="00BF5505">
          <w:rPr>
            <w:noProof/>
            <w:webHidden/>
          </w:rPr>
          <w:instrText xml:space="preserve"> PAGEREF _Toc241065556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58" w:history="1">
        <w:r w:rsidR="00BF5505" w:rsidRPr="00B319D6">
          <w:rPr>
            <w:rStyle w:val="Hyperlink"/>
            <w:noProof/>
          </w:rPr>
          <w:t>Bảng 4.5. Giá trị phân biệt (Ma trận HTMT)</w:t>
        </w:r>
        <w:r w:rsidR="00BF5505">
          <w:rPr>
            <w:noProof/>
            <w:webHidden/>
          </w:rPr>
          <w:tab/>
        </w:r>
        <w:r w:rsidR="00BF5505">
          <w:rPr>
            <w:noProof/>
            <w:webHidden/>
          </w:rPr>
          <w:fldChar w:fldCharType="begin"/>
        </w:r>
        <w:r w:rsidR="00BF5505">
          <w:rPr>
            <w:noProof/>
            <w:webHidden/>
          </w:rPr>
          <w:instrText xml:space="preserve"> PAGEREF _Toc241065558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59" w:history="1">
        <w:r w:rsidR="00BF5505" w:rsidRPr="00B319D6">
          <w:rPr>
            <w:rStyle w:val="Hyperlink"/>
            <w:noProof/>
          </w:rPr>
          <w:t>Bảng 4.6. Giá trị phân biệt theo tiêu chuẩn Fornell-Larcker</w:t>
        </w:r>
        <w:r w:rsidR="00BF5505">
          <w:rPr>
            <w:noProof/>
            <w:webHidden/>
          </w:rPr>
          <w:tab/>
        </w:r>
        <w:r w:rsidR="00BF5505">
          <w:rPr>
            <w:noProof/>
            <w:webHidden/>
          </w:rPr>
          <w:fldChar w:fldCharType="begin"/>
        </w:r>
        <w:r w:rsidR="00BF5505">
          <w:rPr>
            <w:noProof/>
            <w:webHidden/>
          </w:rPr>
          <w:instrText xml:space="preserve"> PAGEREF _Toc241065559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61" w:history="1">
        <w:r w:rsidR="00BF5505" w:rsidRPr="00B319D6">
          <w:rPr>
            <w:rStyle w:val="Hyperlink"/>
            <w:noProof/>
          </w:rPr>
          <w:t>Bảng 4.7. Kiểm tra đa cộng tuyến (VIF)</w:t>
        </w:r>
        <w:r w:rsidR="00BF5505">
          <w:rPr>
            <w:noProof/>
            <w:webHidden/>
          </w:rPr>
          <w:tab/>
        </w:r>
        <w:r w:rsidR="00BF5505">
          <w:rPr>
            <w:noProof/>
            <w:webHidden/>
          </w:rPr>
          <w:fldChar w:fldCharType="begin"/>
        </w:r>
        <w:r w:rsidR="00BF5505">
          <w:rPr>
            <w:noProof/>
            <w:webHidden/>
          </w:rPr>
          <w:instrText xml:space="preserve"> PAGEREF _Toc241065561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64" w:history="1">
        <w:r w:rsidR="00BF5505" w:rsidRPr="00B319D6">
          <w:rPr>
            <w:rStyle w:val="Hyperlink"/>
            <w:noProof/>
          </w:rPr>
          <w:t>Bảng 4.8. Kết quả phân tích hệ số đường dẫn</w:t>
        </w:r>
        <w:r w:rsidR="00BF5505">
          <w:rPr>
            <w:noProof/>
            <w:webHidden/>
          </w:rPr>
          <w:tab/>
        </w:r>
        <w:r w:rsidR="00BF5505">
          <w:rPr>
            <w:noProof/>
            <w:webHidden/>
          </w:rPr>
          <w:fldChar w:fldCharType="begin"/>
        </w:r>
        <w:r w:rsidR="00BF5505">
          <w:rPr>
            <w:noProof/>
            <w:webHidden/>
          </w:rPr>
          <w:instrText xml:space="preserve"> PAGEREF _Toc241065564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68" w:history="1">
        <w:r w:rsidR="00BF5505" w:rsidRPr="00B319D6">
          <w:rPr>
            <w:rStyle w:val="Hyperlink"/>
            <w:noProof/>
          </w:rPr>
          <w:t>Bảng 4.9. Hệ số xác định (R²)</w:t>
        </w:r>
        <w:r w:rsidR="00BF5505">
          <w:rPr>
            <w:noProof/>
            <w:webHidden/>
          </w:rPr>
          <w:tab/>
        </w:r>
        <w:r w:rsidR="00BF5505">
          <w:rPr>
            <w:noProof/>
            <w:webHidden/>
          </w:rPr>
          <w:fldChar w:fldCharType="begin"/>
        </w:r>
        <w:r w:rsidR="00BF5505">
          <w:rPr>
            <w:noProof/>
            <w:webHidden/>
          </w:rPr>
          <w:instrText xml:space="preserve"> PAGEREF _Toc241065568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70" w:history="1">
        <w:r w:rsidR="00BF5505" w:rsidRPr="00B319D6">
          <w:rPr>
            <w:rStyle w:val="Hyperlink"/>
            <w:noProof/>
          </w:rPr>
          <w:t>Bảng 4.10. Kích thước ảnh hưởng (f²)</w:t>
        </w:r>
        <w:r w:rsidR="00BF5505">
          <w:rPr>
            <w:noProof/>
            <w:webHidden/>
          </w:rPr>
          <w:tab/>
        </w:r>
        <w:r w:rsidR="00BF5505">
          <w:rPr>
            <w:noProof/>
            <w:webHidden/>
          </w:rPr>
          <w:fldChar w:fldCharType="begin"/>
        </w:r>
        <w:r w:rsidR="00BF5505">
          <w:rPr>
            <w:noProof/>
            <w:webHidden/>
          </w:rPr>
          <w:instrText xml:space="preserve"> PAGEREF _Toc241065570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72" w:history="1">
        <w:r w:rsidR="00BF5505" w:rsidRPr="00B319D6">
          <w:rPr>
            <w:rStyle w:val="Hyperlink"/>
            <w:noProof/>
          </w:rPr>
          <w:t>Bảng 4.11. Giá trị Q²</w:t>
        </w:r>
        <w:r w:rsidR="00BF5505">
          <w:rPr>
            <w:noProof/>
            <w:webHidden/>
          </w:rPr>
          <w:tab/>
        </w:r>
        <w:r w:rsidR="00BF5505">
          <w:rPr>
            <w:noProof/>
            <w:webHidden/>
          </w:rPr>
          <w:fldChar w:fldCharType="begin"/>
        </w:r>
        <w:r w:rsidR="00BF5505">
          <w:rPr>
            <w:noProof/>
            <w:webHidden/>
          </w:rPr>
          <w:instrText xml:space="preserve"> PAGEREF _Toc241065572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BF5505" w:rsidRDefault="002E378C">
      <w:pPr>
        <w:pStyle w:val="TOC1"/>
        <w:tabs>
          <w:tab w:val="right" w:leader="dot" w:pos="8835"/>
        </w:tabs>
        <w:rPr>
          <w:rFonts w:asciiTheme="minorHAnsi" w:eastAsiaTheme="minorEastAsia" w:hAnsiTheme="minorHAnsi" w:cstheme="minorBidi"/>
          <w:noProof/>
          <w:color w:val="auto"/>
          <w:sz w:val="22"/>
        </w:rPr>
      </w:pPr>
      <w:hyperlink w:anchor="_Toc241065574" w:history="1">
        <w:r w:rsidR="00BF5505" w:rsidRPr="00B319D6">
          <w:rPr>
            <w:rStyle w:val="Hyperlink"/>
            <w:noProof/>
          </w:rPr>
          <w:t>Bảng 4.12. Độ phù hợp của mô hình (Model Fit)</w:t>
        </w:r>
        <w:r w:rsidR="00BF5505">
          <w:rPr>
            <w:noProof/>
            <w:webHidden/>
          </w:rPr>
          <w:tab/>
        </w:r>
        <w:r w:rsidR="00BF5505">
          <w:rPr>
            <w:noProof/>
            <w:webHidden/>
          </w:rPr>
          <w:fldChar w:fldCharType="begin"/>
        </w:r>
        <w:r w:rsidR="00BF5505">
          <w:rPr>
            <w:noProof/>
            <w:webHidden/>
          </w:rPr>
          <w:instrText xml:space="preserve"> PAGEREF _Toc241065574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783A1B" w:rsidRDefault="002E378C" w:rsidP="00783A1B">
      <w:pPr>
        <w:pStyle w:val="TOC1"/>
        <w:tabs>
          <w:tab w:val="right" w:leader="dot" w:pos="8835"/>
        </w:tabs>
        <w:rPr>
          <w:rStyle w:val="Hyperlink"/>
          <w:noProof/>
        </w:rPr>
      </w:pPr>
      <w:hyperlink w:anchor="_Toc241065576" w:history="1">
        <w:r w:rsidR="00BF5505" w:rsidRPr="00B319D6">
          <w:rPr>
            <w:rStyle w:val="Hyperlink"/>
            <w:noProof/>
          </w:rPr>
          <w:t>Bảng 4.13. Kết quả kiểm định tác động gián tiếp</w:t>
        </w:r>
        <w:r w:rsidR="00BF5505">
          <w:rPr>
            <w:noProof/>
            <w:webHidden/>
          </w:rPr>
          <w:tab/>
        </w:r>
        <w:r w:rsidR="00BF5505">
          <w:rPr>
            <w:noProof/>
            <w:webHidden/>
          </w:rPr>
          <w:fldChar w:fldCharType="begin"/>
        </w:r>
        <w:r w:rsidR="00BF5505">
          <w:rPr>
            <w:noProof/>
            <w:webHidden/>
          </w:rPr>
          <w:instrText xml:space="preserve"> PAGEREF _Toc241065576 \h </w:instrText>
        </w:r>
        <w:r w:rsidR="00BF5505">
          <w:rPr>
            <w:noProof/>
            <w:webHidden/>
          </w:rPr>
        </w:r>
        <w:r w:rsidR="00BF5505">
          <w:rPr>
            <w:noProof/>
            <w:webHidden/>
          </w:rPr>
          <w:fldChar w:fldCharType="separate"/>
        </w:r>
        <w:r w:rsidR="00783A1B">
          <w:rPr>
            <w:noProof/>
            <w:webHidden/>
          </w:rPr>
          <w:t>2</w:t>
        </w:r>
        <w:r w:rsidR="00BF5505">
          <w:rPr>
            <w:noProof/>
            <w:webHidden/>
          </w:rPr>
          <w:fldChar w:fldCharType="end"/>
        </w:r>
      </w:hyperlink>
    </w:p>
    <w:p w:rsidR="00783A1B" w:rsidRPr="00783A1B" w:rsidRDefault="00783A1B" w:rsidP="00783A1B">
      <w:pPr>
        <w:pStyle w:val="TOC1"/>
        <w:tabs>
          <w:tab w:val="right" w:leader="dot" w:pos="8835"/>
        </w:tabs>
        <w:rPr>
          <w:rStyle w:val="Hyperlink"/>
          <w:noProof/>
          <w:sz w:val="20"/>
        </w:rPr>
      </w:pPr>
    </w:p>
    <w:p w:rsidR="00783A1B" w:rsidRPr="00783A1B" w:rsidRDefault="00783A1B" w:rsidP="00783A1B">
      <w:pPr>
        <w:pStyle w:val="Heading1"/>
        <w:rPr>
          <w:rFonts w:ascii="Times New Roman" w:hAnsi="Times New Roman"/>
          <w:color w:val="auto"/>
        </w:rPr>
      </w:pPr>
      <w:r w:rsidRPr="00783A1B">
        <w:rPr>
          <w:rFonts w:ascii="Times New Roman" w:hAnsi="Times New Roman"/>
          <w:color w:val="auto"/>
        </w:rPr>
        <w:t>DANH MỤC HÌNH</w:t>
      </w:r>
    </w:p>
    <w:p w:rsidR="00783A1B" w:rsidRPr="00783A1B" w:rsidRDefault="00BF5505" w:rsidP="00783A1B">
      <w:pPr>
        <w:pStyle w:val="TOC1"/>
        <w:tabs>
          <w:tab w:val="right" w:leader="dot" w:pos="8835"/>
        </w:tabs>
        <w:rPr>
          <w:color w:val="auto"/>
        </w:rPr>
      </w:pPr>
      <w:r>
        <w:fldChar w:fldCharType="end"/>
      </w:r>
      <w:r w:rsidR="00783A1B" w:rsidRPr="00783A1B">
        <w:rPr>
          <w:color w:val="auto"/>
        </w:rPr>
        <w:t>Hình 2.1. Mô hình nghiên cứu đề xuất</w:t>
      </w:r>
      <w:r w:rsidR="00783A1B" w:rsidRPr="00783A1B">
        <w:rPr>
          <w:color w:val="auto"/>
        </w:rPr>
        <w:tab/>
        <w:t>48</w:t>
      </w:r>
    </w:p>
    <w:p w:rsidR="00783A1B" w:rsidRPr="00783A1B" w:rsidRDefault="00783A1B" w:rsidP="00783A1B">
      <w:pPr>
        <w:pStyle w:val="TOC1"/>
        <w:tabs>
          <w:tab w:val="right" w:leader="dot" w:pos="8835"/>
        </w:tabs>
        <w:rPr>
          <w:color w:val="auto"/>
        </w:rPr>
      </w:pPr>
      <w:r w:rsidRPr="00783A1B">
        <w:rPr>
          <w:color w:val="auto"/>
          <w:szCs w:val="26"/>
          <w:shd w:val="clear" w:color="auto" w:fill="FFFFFF"/>
        </w:rPr>
        <w:t>Hình 3.1. Bản đồ vùng Đông Nam Bộ</w:t>
      </w:r>
      <w:r w:rsidRPr="00783A1B">
        <w:rPr>
          <w:color w:val="auto"/>
          <w:szCs w:val="26"/>
          <w:shd w:val="clear" w:color="auto" w:fill="FFFFFF"/>
        </w:rPr>
        <w:tab/>
        <w:t>52</w:t>
      </w:r>
    </w:p>
    <w:p w:rsidR="00783A1B" w:rsidRPr="00783A1B" w:rsidRDefault="00783A1B" w:rsidP="00783A1B">
      <w:pPr>
        <w:pStyle w:val="TOC1"/>
        <w:tabs>
          <w:tab w:val="right" w:leader="dot" w:pos="8835"/>
        </w:tabs>
        <w:rPr>
          <w:rFonts w:asciiTheme="minorHAnsi" w:eastAsiaTheme="minorEastAsia" w:hAnsiTheme="minorHAnsi" w:cstheme="minorBidi"/>
          <w:noProof/>
          <w:color w:val="auto"/>
          <w:sz w:val="22"/>
        </w:rPr>
      </w:pPr>
    </w:p>
    <w:p w:rsidR="00764EB5" w:rsidRDefault="00764EB5"/>
    <w:bookmarkEnd w:id="15"/>
    <w:bookmarkEnd w:id="16"/>
    <w:bookmarkEnd w:id="17"/>
    <w:p w:rsidR="00764EB5" w:rsidRDefault="00764EB5"/>
    <w:p w:rsidR="00764EB5" w:rsidRDefault="00DF13CC">
      <w:pPr>
        <w:pStyle w:val="Heading1"/>
        <w:rPr>
          <w:rFonts w:ascii="Times New Roman" w:hAnsi="Times New Roman"/>
          <w:color w:val="auto"/>
        </w:rPr>
      </w:pPr>
      <w:bookmarkStart w:id="18" w:name="_Toc241062404"/>
      <w:bookmarkStart w:id="19" w:name="_Toc241064319"/>
      <w:bookmarkStart w:id="20" w:name="_Toc241065252"/>
      <w:bookmarkStart w:id="21" w:name="_Toc241065463"/>
      <w:r>
        <w:rPr>
          <w:rFonts w:ascii="Times New Roman" w:hAnsi="Times New Roman"/>
          <w:color w:val="auto"/>
        </w:rPr>
        <w:lastRenderedPageBreak/>
        <w:t>DANH MỤC TỪ VIẾT TẮT</w:t>
      </w:r>
      <w:bookmarkEnd w:id="18"/>
      <w:bookmarkEnd w:id="19"/>
      <w:bookmarkEnd w:id="20"/>
      <w:bookmarkEnd w:id="21"/>
    </w:p>
    <w:p w:rsidR="00764EB5" w:rsidRDefault="00764EB5">
      <w:pPr>
        <w:ind w:firstLine="0"/>
        <w:jc w:val="left"/>
        <w:rPr>
          <w:rFonts w:ascii="Times New Roman Bold" w:hAnsi="Times New Roman Bold"/>
          <w:b/>
          <w:caps/>
          <w:color w:val="auto"/>
        </w:rPr>
      </w:pPr>
    </w:p>
    <w:tbl>
      <w:tblPr>
        <w:tblW w:w="8829" w:type="dxa"/>
        <w:tblLayout w:type="fixed"/>
        <w:tblLook w:val="04A0" w:firstRow="1" w:lastRow="0" w:firstColumn="1" w:lastColumn="0" w:noHBand="0" w:noVBand="1"/>
      </w:tblPr>
      <w:tblGrid>
        <w:gridCol w:w="1384"/>
        <w:gridCol w:w="7445"/>
      </w:tblGrid>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jc w:val="center"/>
              <w:rPr>
                <w:b/>
                <w:bCs/>
                <w:color w:val="auto"/>
              </w:rPr>
            </w:pPr>
            <w:bookmarkStart w:id="22" w:name="_Toc227561035"/>
            <w:bookmarkStart w:id="23" w:name="_Toc234224064"/>
            <w:bookmarkStart w:id="24" w:name="_Toc238480571"/>
            <w:bookmarkEnd w:id="22"/>
            <w:r>
              <w:rPr>
                <w:b/>
                <w:bCs/>
                <w:color w:val="auto"/>
              </w:rPr>
              <w:t>Từ viết tắt</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jc w:val="center"/>
              <w:rPr>
                <w:b/>
                <w:bCs/>
                <w:color w:val="auto"/>
              </w:rPr>
            </w:pPr>
            <w:r>
              <w:rPr>
                <w:b/>
                <w:bCs/>
                <w:color w:val="auto"/>
              </w:rPr>
              <w:t>Diễn giải</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AHP</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Phương pháp phân tích thứ bậc</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AVE</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Phương sai trích trung bình</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BXD</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Bộ Xây dựng</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BTNMT</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Bộ Tài nguyên và Môi trường</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CCQ</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Chuẩn chủ quan</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CCT</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rsidP="008C6F28">
            <w:pPr>
              <w:ind w:firstLine="0"/>
              <w:rPr>
                <w:color w:val="auto"/>
              </w:rPr>
            </w:pPr>
            <w:r>
              <w:rPr>
                <w:color w:val="auto"/>
              </w:rPr>
              <w:t>Lý thuyết văn hóa ti</w:t>
            </w:r>
            <w:r w:rsidR="008C6F28">
              <w:rPr>
                <w:color w:val="auto"/>
              </w:rPr>
              <w:t>ê</w:t>
            </w:r>
            <w:r>
              <w:rPr>
                <w:color w:val="auto"/>
              </w:rPr>
              <w:t>u dùng</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CR</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Độ tin cậy tổng hợp</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d _ULS</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t>Khoảng cách bình phương tối thiểu không trọng số</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EFA</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Phân tích nhân tố khám phá</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CFA</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pPr>
            <w:r>
              <w:t>Phân tích nhân tố khẳng định</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CB-SEM</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pPr>
            <w:r>
              <w:t>Mô hình SEM dựa trên hiệp phương sai</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FDI</w:t>
            </w:r>
          </w:p>
        </w:tc>
        <w:tc>
          <w:tcPr>
            <w:tcW w:w="7445" w:type="dxa"/>
            <w:tcBorders>
              <w:top w:val="single" w:sz="4" w:space="0" w:color="000000"/>
              <w:left w:val="single" w:sz="4" w:space="0" w:color="000000"/>
              <w:bottom w:val="single" w:sz="4" w:space="0" w:color="000000"/>
              <w:right w:val="single" w:sz="4" w:space="0" w:color="000000"/>
            </w:tcBorders>
          </w:tcPr>
          <w:p w:rsidR="00764EB5" w:rsidRDefault="008C6F28">
            <w:pPr>
              <w:ind w:firstLine="0"/>
              <w:rPr>
                <w:color w:val="auto"/>
              </w:rPr>
            </w:pPr>
            <w:r>
              <w:t>Đầu tư trực tiếp</w:t>
            </w:r>
            <w:r w:rsidR="00DF13CC">
              <w:t xml:space="preserve"> nước ngoài</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GDP</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Tổng sản phẩm quốc nội</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GTCN</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Giá trị cảm nhận</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H</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lang w:val="fr-FR"/>
              </w:rPr>
            </w:pPr>
            <w:r>
              <w:rPr>
                <w:color w:val="auto"/>
                <w:lang w:val="fr-FR"/>
              </w:rPr>
              <w:t>Giả thuyết nghiên cứu</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HTMT</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lang w:val="fr-FR"/>
              </w:rPr>
            </w:pPr>
            <w:r>
              <w:rPr>
                <w:color w:val="auto"/>
                <w:lang w:val="fr-FR"/>
              </w:rPr>
              <w:t>Tỷ lệ đánh giá giá trị phân biệt</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NTHV</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Nhận thức kiểm soát hành vi</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PLS-SEM</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Mô hình SEM dựa trên PLS</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QDM</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Quyết định mua</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Q²</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Độ phù hợp dự báo</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f²</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Kích thước hiệu ứng</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R²</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Hệ số xác định</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Sig.</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spacing w:val="-6"/>
              </w:rPr>
            </w:pPr>
            <w:r>
              <w:rPr>
                <w:color w:val="auto"/>
              </w:rPr>
              <w:t>Mức ý nghĩa thống kê</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SEM</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Mô hình cấu trúc tuyến tính</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SPSS</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Phần mềm thống kê SPSS</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SmartPLS</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Phần mềm phân tích PLS-SEM</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lastRenderedPageBreak/>
              <w:t>SRMR</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spacing w:val="-6"/>
              </w:rPr>
            </w:pPr>
            <w:r>
              <w:t>Chỉ số căn bậc hai phần dư chuẩn hóa</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TD</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spacing w:val="-6"/>
              </w:rPr>
            </w:pPr>
            <w:r>
              <w:rPr>
                <w:color w:val="auto"/>
                <w:spacing w:val="-6"/>
              </w:rPr>
              <w:t>Thái độ</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TOD</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spacing w:val="-6"/>
              </w:rPr>
            </w:pPr>
            <w:r>
              <w:t>Mô hình phát triển đô thị theo định hướng giao thông công cộng</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TPB</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spacing w:val="-6"/>
              </w:rPr>
            </w:pPr>
            <w:r>
              <w:rPr>
                <w:color w:val="auto"/>
                <w:spacing w:val="-6"/>
              </w:rPr>
              <w:t>Lý thuyết hành vi có kế hoạch</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TRA</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Lý thuyết hành động hợp lý</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UBND</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Ủy ban Nhân dân</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VIF</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Hệ số phóng đại phương sai</w:t>
            </w:r>
          </w:p>
        </w:tc>
      </w:tr>
      <w:tr w:rsidR="00764EB5">
        <w:tc>
          <w:tcPr>
            <w:tcW w:w="1384"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YDM</w:t>
            </w:r>
          </w:p>
        </w:tc>
        <w:tc>
          <w:tcPr>
            <w:tcW w:w="7445" w:type="dxa"/>
            <w:tcBorders>
              <w:top w:val="single" w:sz="4" w:space="0" w:color="000000"/>
              <w:left w:val="single" w:sz="4" w:space="0" w:color="000000"/>
              <w:bottom w:val="single" w:sz="4" w:space="0" w:color="000000"/>
              <w:right w:val="single" w:sz="4" w:space="0" w:color="000000"/>
            </w:tcBorders>
          </w:tcPr>
          <w:p w:rsidR="00764EB5" w:rsidRDefault="00DF13CC">
            <w:pPr>
              <w:ind w:firstLine="0"/>
              <w:rPr>
                <w:color w:val="auto"/>
              </w:rPr>
            </w:pPr>
            <w:r>
              <w:rPr>
                <w:color w:val="auto"/>
              </w:rPr>
              <w:t>Ý định mua</w:t>
            </w:r>
          </w:p>
        </w:tc>
      </w:tr>
      <w:bookmarkEnd w:id="23"/>
      <w:bookmarkEnd w:id="24"/>
    </w:tbl>
    <w:p w:rsidR="00764EB5" w:rsidRDefault="00764EB5"/>
    <w:p w:rsidR="00764EB5" w:rsidRDefault="00764EB5">
      <w:pPr>
        <w:rPr>
          <w:b/>
          <w:bCs/>
          <w:color w:val="auto"/>
        </w:rPr>
      </w:pPr>
    </w:p>
    <w:p w:rsidR="00764EB5" w:rsidRDefault="00764EB5">
      <w:pPr>
        <w:rPr>
          <w:b/>
          <w:bCs/>
          <w:color w:val="auto"/>
        </w:rPr>
      </w:pPr>
    </w:p>
    <w:p w:rsidR="00764EB5" w:rsidRDefault="00764EB5">
      <w:pPr>
        <w:rPr>
          <w:color w:val="auto"/>
        </w:rPr>
      </w:pPr>
    </w:p>
    <w:p w:rsidR="00764EB5" w:rsidRDefault="00DF13CC">
      <w:pPr>
        <w:pStyle w:val="Heading1"/>
        <w:rPr>
          <w:color w:val="auto"/>
        </w:rPr>
        <w:sectPr w:rsidR="00764EB5" w:rsidSect="000E2356">
          <w:headerReference w:type="even" r:id="rId13"/>
          <w:headerReference w:type="default" r:id="rId14"/>
          <w:headerReference w:type="first" r:id="rId15"/>
          <w:pgSz w:w="11906" w:h="16838"/>
          <w:pgMar w:top="1701" w:right="1247" w:bottom="1361" w:left="1814" w:header="998" w:footer="0" w:gutter="0"/>
          <w:pgNumType w:fmt="lowerRoman" w:start="1"/>
          <w:cols w:space="720"/>
          <w:formProt w:val="0"/>
          <w:docGrid w:linePitch="100"/>
        </w:sectPr>
      </w:pPr>
      <w:r>
        <w:rPr>
          <w:color w:val="auto"/>
        </w:rPr>
        <w:br w:type="page"/>
      </w:r>
    </w:p>
    <w:p w:rsidR="00764EB5" w:rsidRDefault="00DF13CC">
      <w:pPr>
        <w:pStyle w:val="Heading1"/>
        <w:spacing w:after="120"/>
        <w:rPr>
          <w:color w:val="auto"/>
        </w:rPr>
      </w:pPr>
      <w:bookmarkStart w:id="25" w:name="_Toc234224065"/>
      <w:bookmarkStart w:id="26" w:name="_Toc241062405"/>
      <w:bookmarkStart w:id="27" w:name="_Toc241064320"/>
      <w:bookmarkStart w:id="28" w:name="_Toc241065253"/>
      <w:bookmarkStart w:id="29" w:name="_Toc241065464"/>
      <w:r>
        <w:rPr>
          <w:rFonts w:ascii="Times New Roman" w:hAnsi="Times New Roman"/>
          <w:color w:val="auto"/>
        </w:rPr>
        <w:lastRenderedPageBreak/>
        <w:t>PHẦN MỞ ĐẦU</w:t>
      </w:r>
      <w:bookmarkEnd w:id="25"/>
      <w:bookmarkEnd w:id="26"/>
      <w:bookmarkEnd w:id="27"/>
      <w:bookmarkEnd w:id="28"/>
      <w:bookmarkEnd w:id="29"/>
    </w:p>
    <w:p w:rsidR="00764EB5" w:rsidRDefault="00DF13CC" w:rsidP="007B644D">
      <w:pPr>
        <w:pStyle w:val="Heading2"/>
      </w:pPr>
      <w:bookmarkStart w:id="30" w:name="_Toc174537655"/>
      <w:bookmarkStart w:id="31" w:name="_Toc227561038"/>
      <w:bookmarkStart w:id="32" w:name="_Toc234224066"/>
      <w:bookmarkStart w:id="33" w:name="_Toc238480573"/>
      <w:bookmarkStart w:id="34" w:name="_Toc241062406"/>
      <w:bookmarkStart w:id="35" w:name="_Toc241064321"/>
      <w:bookmarkStart w:id="36" w:name="_Toc241065254"/>
      <w:bookmarkStart w:id="37" w:name="_Toc241065465"/>
      <w:bookmarkEnd w:id="30"/>
      <w:bookmarkEnd w:id="31"/>
      <w:r>
        <w:t>1. Tính cấp thiết</w:t>
      </w:r>
      <w:bookmarkEnd w:id="32"/>
      <w:bookmarkEnd w:id="33"/>
      <w:bookmarkEnd w:id="34"/>
      <w:bookmarkEnd w:id="35"/>
      <w:bookmarkEnd w:id="36"/>
      <w:bookmarkEnd w:id="37"/>
    </w:p>
    <w:p w:rsidR="00764EB5" w:rsidRDefault="00DF13CC" w:rsidP="003D6B28">
      <w:pPr>
        <w:rPr>
          <w:color w:val="auto"/>
        </w:rPr>
      </w:pPr>
      <w:r>
        <w:rPr>
          <w:color w:val="auto"/>
        </w:rPr>
        <w:t>Nhà ở đô thị vừa là một bộ phận thiết yếu của hệ thống an sinh, vừa là loại tài sản có giá trị lớn và gắn với quyết định tài chính dài hạn của hộ gia đình. Khác với nhiều quyết định tiêu dùng thông thường, quyết định mua căn hộ chung cư có mức độ tham gia cao, thời gian cân nhắc dài, chịu ràng buộc mạnh bởi khả năng tài chính, thông tin, pháp lý và chất lượng sử dụng. Vì vậy, nghiên cứu cơ chế hình thành ý định và mức độ sẵn sàng ra quyết định mua có ý nghĩa đối với cả lý luận hành vi người tiêu dùng và thực tiễn quản trị kinh doanh bất động sản.</w:t>
      </w:r>
    </w:p>
    <w:p w:rsidR="00764EB5" w:rsidRDefault="00DF13CC" w:rsidP="003D6B28">
      <w:pPr>
        <w:rPr>
          <w:color w:val="auto"/>
        </w:rPr>
      </w:pPr>
      <w:r>
        <w:rPr>
          <w:color w:val="auto"/>
        </w:rPr>
        <w:t>Áp lực về dân số, đô thị hóa và điều kiện nhà ở cho thấy nhu cầu nghiên cứu vấn đề này ngày càng rõ nét. Kết quả Điều tra dân số và nhà ở giữa kỳ năm 2024 cho thấy Việt Nam có 101.112.656 người; dân số thành thị chiếm 38,2% và tốc độ tăng dân số thành thị bình quân giai đoạn 2019–2024 đạt 3,06%/năm. Đông Nam Bộ là một trong hai vùng có mật độ dân số cao nhất cả nước, đạt 814 người/km². Đáng chú ý là, 10,7% số hộ trong vùng sống trong nhà/căn hộ có diện tích bình quân dưới 8 m²/người, là tỷ lệ cao nhất trong các vùng kinh tế - xã hội (Tổng cục Thống kê, 2025). Các chỉ tiêu này phản ánh đồng thời sức ép về không gian ở, nhu cầu cải thiện điều kiện nhà ở và yêu cầu phát triển nguồn cung phù hợp với khả năng chi trả của cư dân đô thị.</w:t>
      </w:r>
    </w:p>
    <w:p w:rsidR="00764EB5" w:rsidRPr="003D6B28" w:rsidRDefault="00DF13CC" w:rsidP="003D6B28">
      <w:pPr>
        <w:rPr>
          <w:color w:val="auto"/>
          <w:spacing w:val="-4"/>
        </w:rPr>
      </w:pPr>
      <w:r w:rsidRPr="003D6B28">
        <w:rPr>
          <w:color w:val="auto"/>
          <w:spacing w:val="-4"/>
        </w:rPr>
        <w:t>Với vùng Đông Nam Bộ, quá trình đô thị hóa và tái cấu trúc không gian phát triển làm cho nhu cầu nhà ở, đặc biệt là căn hộ chung cư tại các trung tâm đô thị và khu vực gắn với công nghiệp - dịch vụ, tiếp tục gia tăng. Nghị quyết số 24-NQ/TW xác định tỷ lệ đô thị hóa của vùng đã đạt khoảng 67% và đặt mục tiêu đạt 70–75% vào năm 2030 (Bộ Chính trị, 2022).  Cùng với sự phát triển của các hành lang giao thông, khu công nghiệp, logistics và các cực tăng trưởng mới, sự dịch chuyển dân cư và lao động làm cho thị trường căn hộ trong vùng vừa có tiềm năng lớn, vừa phân hóa mạnh theo địa bàn, mức giá, chất lượng dự án và khả năng tiếp cận hạ tầng.</w:t>
      </w:r>
    </w:p>
    <w:p w:rsidR="00764EB5" w:rsidRDefault="00DF13CC" w:rsidP="003D6B28">
      <w:pPr>
        <w:rPr>
          <w:color w:val="auto"/>
        </w:rPr>
      </w:pPr>
      <w:r>
        <w:rPr>
          <w:color w:val="auto"/>
        </w:rPr>
        <w:t xml:space="preserve">Diễn biến thị trường năm 2025 tiếp tục cho thấy mối quan hệ chặt chẽ giữa điều kiện kinh tế, nguồn vốn và hành vi của người mua nhà. Báo cáo của Viện Kinh tế xây dựng - Bộ Xây dựng cho thấy GDP cả nước năm 2025 tăng 8,02% so với </w:t>
      </w:r>
      <w:r>
        <w:rPr>
          <w:color w:val="auto"/>
        </w:rPr>
        <w:lastRenderedPageBreak/>
        <w:t>năm 2024; ngành xây dựng tăng 9,62% và hoạt động kinh doanh bất động sản tăng 4,63%. Tổng số vốn FDI đăng ký vào lĩnh vực bất động sản đạt khoảng 7,1 tỷ USD, chiếm 18,51% tổng vốn đầu tư trực tiếp nước ngoài (FDI) đăng ký. Riêng trên thị trường căn hộ thứ cấp, lượng giao dịch tại thành phố Hồ Chí Minh năm 2025 tăng khoảng 11,7% và tỷ lệ hấp thụ nguồn cung tăng khoảng 10,8% so với năm 2024; trong khi các căn hộ có mức giá khoảng 2 tỷ đồng gần như không còn phổ biến tại thành phố Hà Nội và Hồ Chí Minh (Viện Kinh tế xây dựng - Bộ Xây dựng, 2026). Điều này cho thấy thị trường phục hồi về mức độ quan tâm và giao dịch nhưng bài toán khả năng chi trả vẫn là một ràng buộc đáng kể đối với người mua.</w:t>
      </w:r>
    </w:p>
    <w:p w:rsidR="00764EB5" w:rsidRDefault="00DF13CC" w:rsidP="003D6B28">
      <w:pPr>
        <w:rPr>
          <w:color w:val="auto"/>
        </w:rPr>
      </w:pPr>
      <w:r>
        <w:rPr>
          <w:color w:val="auto"/>
        </w:rPr>
        <w:t>Ở cấp độ thị trường lõi của vùng, CBRE ghi nhận trong năm 2025, phạm vi thành phố Hồ Chí Minh trước sắp xếp chỉ có 3.135 căn hộ chung cư được chào bán mới (CBRE Việt Nam, 2026a). Trong bối cảnh nguồn cung căn hộ phù hợp với khả năng chi trả còn hạn chế, người mua phải đánh giá đồng thời giá cả, năng lực tài chính, khả năng tiếp cận tín dụng, vị trí, tiện ích, mức độ minh bạch pháp lý, uy tín chủ đầu tư và giá trị sử dụng - đầu tư của sản phẩm. Vì vậy, quyết định mua căn hộ không thể được giải thích đầy đủ chỉ bằng một nhóm thuộc tính riêng lẻ, mà cần được xem xét như kết quả của quá trình kết hợp giữa đánh giá tâm lý - xã hội, khả năng kiểm soát nguồn lực và cảm nhận giá trị của căn hộ.</w:t>
      </w:r>
    </w:p>
    <w:p w:rsidR="00764EB5" w:rsidRDefault="00DF13CC" w:rsidP="003D6B28">
      <w:pPr>
        <w:rPr>
          <w:color w:val="auto"/>
        </w:rPr>
      </w:pPr>
      <w:r>
        <w:rPr>
          <w:color w:val="auto"/>
        </w:rPr>
        <w:t>Lý thuyết hành vi có kế hoạch (TPB) chỉ ra rằng ý định hành vi được hình thành chủ yếu từ thái độ, chuẩn chủ quan và nhận thức kiểm soát hành vi (Ajzen, 1991). Đối với căn hộ chung cư - một sản phẩm có giá trị lớn, đa thuộc tính và chịu tác động của bất cân xứng thông tin - cách tiếp cận Giá trị cảm nhận giúp phản ánh đánh giá tổng hợp của khách hàng về những lợi ích nhận được so với những nguồn lực và chi phí phải bỏ ra (Zeithaml, 1988). Tuy nhiên, bằng chứng thực nghiệm về việc kết hợp TPB với giá trị cảm nhận trong bối cảnh thị trường căn hộ vùng Đông Nam Bộ vẫn còn phân tán; nhiều nghiên cứu tập trung vào từng thuộc tính sản phẩm hoặc dừng ở ý định mua, chưa làm rõ đầy đủ quá trình từ nhận thức, ý định đến mức độ sẵn sàng ra quyết định mua.</w:t>
      </w:r>
    </w:p>
    <w:p w:rsidR="00764EB5" w:rsidRDefault="00DF13CC" w:rsidP="003D6B28">
      <w:pPr>
        <w:rPr>
          <w:color w:val="auto"/>
        </w:rPr>
      </w:pPr>
      <w:r>
        <w:rPr>
          <w:color w:val="auto"/>
        </w:rPr>
        <w:t xml:space="preserve">Từ yêu cầu nhất quán giữa lý thuyết, thang đo và dữ liệu khảo sát, luận án không kiểm định riêng rẽ vị trí, pháp lý, uy tín chủ đầu tư hay phong thủy như các </w:t>
      </w:r>
      <w:r>
        <w:rPr>
          <w:color w:val="auto"/>
        </w:rPr>
        <w:lastRenderedPageBreak/>
        <w:t>biến độc lập. Các thuộc tính này được sử dụng để giải thích nội hàm của Thái độ hoặc Giá trị cảm nhận căn hộ trong phạm vi thang đo được xây dựng. Đồng thời, do đối tượng khảo sát bao gồm người đã mua, đang cân nhắc mua và có nhu cầu mua trong tương lai nên  biến quy</w:t>
      </w:r>
      <w:r w:rsidR="00441DFE">
        <w:rPr>
          <w:color w:val="auto"/>
        </w:rPr>
        <w:t>ết</w:t>
      </w:r>
      <w:r>
        <w:rPr>
          <w:color w:val="auto"/>
        </w:rPr>
        <w:t xml:space="preserve"> </w:t>
      </w:r>
      <w:r w:rsidR="00441DFE">
        <w:rPr>
          <w:color w:val="auto"/>
        </w:rPr>
        <w:t>đ</w:t>
      </w:r>
      <w:r>
        <w:rPr>
          <w:color w:val="auto"/>
        </w:rPr>
        <w:t>ịnh mua được vận hành hóa là mức độ sẵn sàng ra quyết định mua trên cơ sở tự báo cáo, không đồng nhất với hành vi giao dịch đã hoàn tất. Cách tiếp cận này giúp hạn chế suy rộng quá mức và bảo đảm sự thống nhất giữa vấn đề nghiên cứu, mô hình, dữ liệu và phạm vi kết luận.</w:t>
      </w:r>
    </w:p>
    <w:p w:rsidR="00764EB5" w:rsidRPr="003D6B28" w:rsidRDefault="00DF13CC" w:rsidP="003D6B28">
      <w:pPr>
        <w:rPr>
          <w:color w:val="auto"/>
          <w:spacing w:val="-2"/>
        </w:rPr>
      </w:pPr>
      <w:r w:rsidRPr="003D6B28">
        <w:rPr>
          <w:color w:val="auto"/>
          <w:spacing w:val="-2"/>
        </w:rPr>
        <w:t>Từ những lập luận và bằng chứng thực tiễn nêu trên, nghiên cứu các yếu tố ảnh hưởng đến Ý định mua và mức độ sẵn sàng ra quyết định mua căn hộ chung cư tại vùng Đông Nam Bộ có tính cấp thiết cả về khoa học và thực tiễn. Nghiên cứu góp phần bổ sung bằng chứng về khả năng vận dụng TPB mở rộng trong một thị trường đô thị có tốc độ phát triển cao và mức độ phân hóa lớn; đồng thời cung cấp căn cứ tham khảo cho doanh nghiệp và cơ quan quản lý trong thiết kế sản phẩm, minh bạch thông tin, hỗ trợ khả năng tiếp cận nhà ở và củng cố niềm tin của khách hàng.</w:t>
      </w:r>
    </w:p>
    <w:p w:rsidR="00764EB5" w:rsidRDefault="00DF13CC" w:rsidP="007B644D">
      <w:pPr>
        <w:pStyle w:val="Heading2"/>
      </w:pPr>
      <w:bookmarkStart w:id="38" w:name="_Toc238480574"/>
      <w:bookmarkStart w:id="39" w:name="_Toc234224067"/>
      <w:bookmarkStart w:id="40" w:name="_Toc241062407"/>
      <w:bookmarkStart w:id="41" w:name="_Toc241064322"/>
      <w:bookmarkStart w:id="42" w:name="_Toc241065255"/>
      <w:bookmarkStart w:id="43" w:name="_Toc241065466"/>
      <w:r>
        <w:t>2. Mục tiêu nghiên cứu</w:t>
      </w:r>
      <w:bookmarkEnd w:id="38"/>
      <w:bookmarkEnd w:id="39"/>
      <w:bookmarkEnd w:id="40"/>
      <w:bookmarkEnd w:id="41"/>
      <w:bookmarkEnd w:id="42"/>
      <w:bookmarkEnd w:id="43"/>
    </w:p>
    <w:p w:rsidR="00764EB5" w:rsidRDefault="00DF13CC" w:rsidP="00021C6B">
      <w:pPr>
        <w:pStyle w:val="Heading3"/>
      </w:pPr>
      <w:bookmarkStart w:id="44" w:name="_Toc227561040"/>
      <w:bookmarkStart w:id="45" w:name="_Toc229202974"/>
      <w:bookmarkStart w:id="46" w:name="_Toc234224068"/>
      <w:bookmarkStart w:id="47" w:name="_Toc238480575"/>
      <w:bookmarkStart w:id="48" w:name="_Toc241062408"/>
      <w:bookmarkStart w:id="49" w:name="_Toc241064323"/>
      <w:bookmarkStart w:id="50" w:name="_Toc241065256"/>
      <w:bookmarkStart w:id="51" w:name="_Toc241065467"/>
      <w:bookmarkEnd w:id="44"/>
      <w:bookmarkEnd w:id="45"/>
      <w:r>
        <w:t>2.1. Mục tiêu tổng quát</w:t>
      </w:r>
      <w:bookmarkEnd w:id="46"/>
      <w:bookmarkEnd w:id="47"/>
      <w:bookmarkEnd w:id="48"/>
      <w:bookmarkEnd w:id="49"/>
      <w:bookmarkEnd w:id="50"/>
      <w:bookmarkEnd w:id="51"/>
    </w:p>
    <w:p w:rsidR="00764EB5" w:rsidRDefault="00DF13CC" w:rsidP="003D6B28">
      <w:pPr>
        <w:rPr>
          <w:color w:val="auto"/>
          <w:szCs w:val="28"/>
        </w:rPr>
      </w:pPr>
      <w:r>
        <w:rPr>
          <w:color w:val="auto"/>
        </w:rPr>
        <w:t>Nghiên cứu nhằm xác định và đo lường mức độ ảnh hưởng của Thái độ, Chuẩn chủ quan, Nhận thức kiểm soát hành vi và Giá trị cảm nhận căn hộ đến Ý định mua; đồng thời kiểm định tác động của Ý định mua đến mức độ sẵn sàng ra quyết định mua căn hộ chung cư thương mại của khách hàng tại vùng Đông Nam Bộ. Trên cơ sở kết quả nghiên cứu, luận án đề xuất các khuy</w:t>
      </w:r>
      <w:r w:rsidR="008C6F28">
        <w:rPr>
          <w:color w:val="auto"/>
        </w:rPr>
        <w:t>ến</w:t>
      </w:r>
      <w:r>
        <w:rPr>
          <w:color w:val="auto"/>
        </w:rPr>
        <w:t xml:space="preserve"> nghị hàm ý q</w:t>
      </w:r>
      <w:r w:rsidR="00DB76CA">
        <w:rPr>
          <w:color w:val="auto"/>
        </w:rPr>
        <w:t>uản trị và chính sách</w:t>
      </w:r>
      <w:r>
        <w:rPr>
          <w:color w:val="auto"/>
        </w:rPr>
        <w:t>.</w:t>
      </w:r>
    </w:p>
    <w:p w:rsidR="00764EB5" w:rsidRDefault="00DF13CC" w:rsidP="00021C6B">
      <w:pPr>
        <w:pStyle w:val="Heading3"/>
      </w:pPr>
      <w:bookmarkStart w:id="52" w:name="_Toc229202975"/>
      <w:bookmarkStart w:id="53" w:name="_Toc227561041"/>
      <w:bookmarkStart w:id="54" w:name="_Toc234224069"/>
      <w:bookmarkStart w:id="55" w:name="_Toc238480576"/>
      <w:bookmarkStart w:id="56" w:name="_Toc241062409"/>
      <w:bookmarkStart w:id="57" w:name="_Toc241064324"/>
      <w:bookmarkStart w:id="58" w:name="_Toc241065257"/>
      <w:bookmarkStart w:id="59" w:name="_Toc241065468"/>
      <w:bookmarkEnd w:id="52"/>
      <w:bookmarkEnd w:id="53"/>
      <w:r>
        <w:t>2.2. Mục tiêu cụ thể</w:t>
      </w:r>
      <w:bookmarkEnd w:id="54"/>
      <w:bookmarkEnd w:id="55"/>
      <w:bookmarkEnd w:id="56"/>
      <w:bookmarkEnd w:id="57"/>
      <w:bookmarkEnd w:id="58"/>
      <w:bookmarkEnd w:id="59"/>
    </w:p>
    <w:p w:rsidR="00764EB5" w:rsidRDefault="00DF13CC" w:rsidP="003D6B28">
      <w:pPr>
        <w:numPr>
          <w:ilvl w:val="0"/>
          <w:numId w:val="1"/>
        </w:numPr>
        <w:ind w:left="0" w:firstLine="426"/>
        <w:rPr>
          <w:color w:val="auto"/>
          <w:szCs w:val="28"/>
        </w:rPr>
      </w:pPr>
      <w:r>
        <w:rPr>
          <w:color w:val="auto"/>
        </w:rPr>
        <w:t>Làm rõ các cơ sở lý luận, thực tiễn trong nghiên cứu và xây dựng mô hình nghiên cứu trên cơ sở kế thừa TPB trong đó các biến chính gồm Thái độ, Chuẩn chủ quan, Nhận thức kiểm soát hành vi, Giá trị cảm nhận căn hộ, Ý định mua và mức độ sẵn sàng ra quyết định mua căn hộ chung cư.</w:t>
      </w:r>
    </w:p>
    <w:p w:rsidR="00764EB5" w:rsidRDefault="00DF13CC" w:rsidP="003D6B28">
      <w:pPr>
        <w:numPr>
          <w:ilvl w:val="0"/>
          <w:numId w:val="1"/>
        </w:numPr>
        <w:ind w:left="0" w:firstLine="426"/>
        <w:rPr>
          <w:color w:val="auto"/>
          <w:szCs w:val="28"/>
        </w:rPr>
      </w:pPr>
      <w:r>
        <w:rPr>
          <w:color w:val="auto"/>
        </w:rPr>
        <w:t xml:space="preserve">Đánh giá các yếu tố ảnh hưởng tới quyết định mua căn hộ chung cư của khách hàng tại vùng Đông Nam Bộ đặt trọng tâm vào các yếu tố như Thái độ, Chuẩn chủ quan, Nhận thức kiểm soát hành vi, Giá trị cảm nhận căn hộ </w:t>
      </w:r>
    </w:p>
    <w:p w:rsidR="00764EB5" w:rsidRDefault="00DF13CC" w:rsidP="003D6B28">
      <w:pPr>
        <w:numPr>
          <w:ilvl w:val="0"/>
          <w:numId w:val="1"/>
        </w:numPr>
        <w:spacing w:line="343" w:lineRule="auto"/>
        <w:ind w:left="0" w:firstLine="426"/>
        <w:rPr>
          <w:color w:val="auto"/>
          <w:spacing w:val="-6"/>
          <w:szCs w:val="28"/>
        </w:rPr>
      </w:pPr>
      <w:r>
        <w:rPr>
          <w:color w:val="auto"/>
        </w:rPr>
        <w:lastRenderedPageBreak/>
        <w:t>Đề xuất các hàm ý quản trị cho doanh nghiệp bất động sản và một số khuyến nghị chính sách cho cơ quan quản lý trên cơ sở các kết quả được kiểm định, tránh suy rộng vượt quá phạm vi dữ liệu và mô hình nghiên cứu.</w:t>
      </w:r>
    </w:p>
    <w:p w:rsidR="00764EB5" w:rsidRDefault="00DF13CC" w:rsidP="007B644D">
      <w:pPr>
        <w:pStyle w:val="Heading2"/>
      </w:pPr>
      <w:bookmarkStart w:id="60" w:name="_Toc234224070"/>
      <w:bookmarkStart w:id="61" w:name="_Toc227561042"/>
      <w:bookmarkStart w:id="62" w:name="_Toc238480577"/>
      <w:bookmarkStart w:id="63" w:name="_Toc241062410"/>
      <w:bookmarkStart w:id="64" w:name="_Toc241064325"/>
      <w:bookmarkStart w:id="65" w:name="_Toc241065258"/>
      <w:bookmarkStart w:id="66" w:name="_Toc241065469"/>
      <w:r>
        <w:t>3. Câu hỏi nghiên cứu</w:t>
      </w:r>
      <w:bookmarkEnd w:id="60"/>
      <w:bookmarkEnd w:id="61"/>
      <w:bookmarkEnd w:id="62"/>
      <w:bookmarkEnd w:id="63"/>
      <w:bookmarkEnd w:id="64"/>
      <w:bookmarkEnd w:id="65"/>
      <w:bookmarkEnd w:id="66"/>
    </w:p>
    <w:p w:rsidR="00764EB5" w:rsidRPr="003D6B28" w:rsidRDefault="00DF13CC" w:rsidP="003D6B28">
      <w:pPr>
        <w:numPr>
          <w:ilvl w:val="0"/>
          <w:numId w:val="1"/>
        </w:numPr>
        <w:spacing w:line="343" w:lineRule="auto"/>
        <w:ind w:left="0" w:firstLine="567"/>
        <w:rPr>
          <w:color w:val="auto"/>
          <w:spacing w:val="-8"/>
          <w:szCs w:val="28"/>
        </w:rPr>
      </w:pPr>
      <w:r w:rsidRPr="003D6B28">
        <w:rPr>
          <w:color w:val="auto"/>
          <w:spacing w:val="-8"/>
        </w:rPr>
        <w:t>Những lý luận và thực tiễn nào được khai thác làm cơ sở cho nghiên cứu tại vùng Đông Nam Bộ. Các yếu tố trong mô h</w:t>
      </w:r>
      <w:r w:rsidR="008C6F28" w:rsidRPr="003D6B28">
        <w:rPr>
          <w:color w:val="auto"/>
          <w:spacing w:val="-8"/>
        </w:rPr>
        <w:t>ình TPB mở rộng bao gồm những yếu</w:t>
      </w:r>
      <w:r w:rsidRPr="003D6B28">
        <w:rPr>
          <w:color w:val="auto"/>
          <w:spacing w:val="-8"/>
        </w:rPr>
        <w:t xml:space="preserve"> tố nào?</w:t>
      </w:r>
    </w:p>
    <w:p w:rsidR="00764EB5" w:rsidRDefault="00DF13CC" w:rsidP="003D6B28">
      <w:pPr>
        <w:numPr>
          <w:ilvl w:val="0"/>
          <w:numId w:val="1"/>
        </w:numPr>
        <w:spacing w:line="343" w:lineRule="auto"/>
        <w:ind w:left="0" w:firstLine="567"/>
        <w:rPr>
          <w:color w:val="auto"/>
          <w:szCs w:val="28"/>
        </w:rPr>
      </w:pPr>
      <w:r>
        <w:rPr>
          <w:color w:val="auto"/>
        </w:rPr>
        <w:t xml:space="preserve">Các yếu tố nào  ảnh hưởng đến quyết định định mua căn hộ của khách hàng tại vùng Đông Nam Bộ và </w:t>
      </w:r>
      <w:r w:rsidR="008C6F28">
        <w:rPr>
          <w:color w:val="auto"/>
        </w:rPr>
        <w:t>mức độ tác động như thế</w:t>
      </w:r>
      <w:r>
        <w:rPr>
          <w:color w:val="auto"/>
        </w:rPr>
        <w:t xml:space="preserve"> nào ?</w:t>
      </w:r>
    </w:p>
    <w:p w:rsidR="00764EB5" w:rsidRDefault="00DF13CC" w:rsidP="003D6B28">
      <w:pPr>
        <w:numPr>
          <w:ilvl w:val="0"/>
          <w:numId w:val="1"/>
        </w:numPr>
        <w:spacing w:line="343" w:lineRule="auto"/>
        <w:ind w:left="0" w:firstLine="567"/>
        <w:rPr>
          <w:color w:val="auto"/>
          <w:szCs w:val="28"/>
        </w:rPr>
      </w:pPr>
      <w:r>
        <w:rPr>
          <w:color w:val="auto"/>
        </w:rPr>
        <w:t>Từ kết quả nghiên cứu, có thể đề xuất những hàm ý quản trị và khuyến nghị chính sách nào phù hợp với thị trường căn hộ chung cư tại vùng Đông Nam Bộ?</w:t>
      </w:r>
    </w:p>
    <w:p w:rsidR="00764EB5" w:rsidRDefault="00DF13CC" w:rsidP="007B644D">
      <w:pPr>
        <w:pStyle w:val="Heading2"/>
      </w:pPr>
      <w:bookmarkStart w:id="67" w:name="_Toc227561043"/>
      <w:bookmarkStart w:id="68" w:name="_Toc238480578"/>
      <w:bookmarkStart w:id="69" w:name="_Toc234224071"/>
      <w:bookmarkStart w:id="70" w:name="_Toc241062411"/>
      <w:bookmarkStart w:id="71" w:name="_Toc241064326"/>
      <w:bookmarkStart w:id="72" w:name="_Toc241065259"/>
      <w:bookmarkStart w:id="73" w:name="_Toc241065470"/>
      <w:r>
        <w:t>4. Đối tượng và phạm vi nghiên cứu</w:t>
      </w:r>
      <w:bookmarkEnd w:id="67"/>
      <w:bookmarkEnd w:id="68"/>
      <w:bookmarkEnd w:id="69"/>
      <w:bookmarkEnd w:id="70"/>
      <w:bookmarkEnd w:id="71"/>
      <w:bookmarkEnd w:id="72"/>
      <w:bookmarkEnd w:id="73"/>
    </w:p>
    <w:p w:rsidR="00764EB5" w:rsidRDefault="00DF13CC" w:rsidP="00021C6B">
      <w:pPr>
        <w:pStyle w:val="Heading3"/>
      </w:pPr>
      <w:bookmarkStart w:id="74" w:name="_Toc238480579"/>
      <w:bookmarkStart w:id="75" w:name="_Toc227561044"/>
      <w:bookmarkStart w:id="76" w:name="_Toc229202978"/>
      <w:bookmarkStart w:id="77" w:name="_Toc234224072"/>
      <w:bookmarkStart w:id="78" w:name="_Toc241062412"/>
      <w:bookmarkStart w:id="79" w:name="_Toc241064327"/>
      <w:bookmarkStart w:id="80" w:name="_Toc241065260"/>
      <w:bookmarkStart w:id="81" w:name="_Toc241065471"/>
      <w:r>
        <w:t>4.1. Đối tượng nghiên cứu</w:t>
      </w:r>
      <w:bookmarkEnd w:id="74"/>
      <w:bookmarkEnd w:id="75"/>
      <w:bookmarkEnd w:id="76"/>
      <w:bookmarkEnd w:id="77"/>
      <w:bookmarkEnd w:id="78"/>
      <w:bookmarkEnd w:id="79"/>
      <w:bookmarkEnd w:id="80"/>
      <w:bookmarkEnd w:id="81"/>
    </w:p>
    <w:p w:rsidR="00764EB5" w:rsidRDefault="00DF13CC" w:rsidP="003D6B28">
      <w:pPr>
        <w:spacing w:line="343" w:lineRule="auto"/>
        <w:rPr>
          <w:color w:val="auto"/>
          <w:spacing w:val="-6"/>
          <w:szCs w:val="28"/>
        </w:rPr>
      </w:pPr>
      <w:r>
        <w:rPr>
          <w:color w:val="auto"/>
        </w:rPr>
        <w:t>Đối tượng nghiên cứu của luận án là các yếu tố ảnh hưởng đến ý định mua và mức độ sẵn sàng ra quyết định mua căn hộ chung cư thương mại của khách hàng cá nhân tại vùng Đông Nam Bộ. Đối tượng khảo sát là các cá nhân có quốc tịch Việt Nam đã mua, đang cân nhắc mua hoặc có nhu cầu tìm hiểu/mua căn hộ chung cư thương mại. Do phần lớn người trả lời chưa phát sinh giao dịch mua thực tế, biến QDM trong nghiên cứu được hiểu theo nghĩa mức độ sẵn sàng ra quyết định mua trên cơ sở tự báo cáo, không đồng nhất với hành vi giao dịch mua đã hoàn tất.</w:t>
      </w:r>
    </w:p>
    <w:p w:rsidR="00764EB5" w:rsidRDefault="00DF13CC" w:rsidP="00021C6B">
      <w:pPr>
        <w:pStyle w:val="Heading3"/>
      </w:pPr>
      <w:bookmarkStart w:id="82" w:name="_Toc238480580"/>
      <w:bookmarkStart w:id="83" w:name="_Toc234224073"/>
      <w:bookmarkStart w:id="84" w:name="_Toc227561045"/>
      <w:bookmarkStart w:id="85" w:name="_Toc229202979"/>
      <w:bookmarkStart w:id="86" w:name="_Toc241062413"/>
      <w:bookmarkStart w:id="87" w:name="_Toc241064328"/>
      <w:bookmarkStart w:id="88" w:name="_Toc241065261"/>
      <w:bookmarkStart w:id="89" w:name="_Toc241065472"/>
      <w:r>
        <w:t>4.2. Phạm vi nghiên cứu</w:t>
      </w:r>
      <w:bookmarkEnd w:id="82"/>
      <w:bookmarkEnd w:id="83"/>
      <w:bookmarkEnd w:id="84"/>
      <w:bookmarkEnd w:id="85"/>
      <w:bookmarkEnd w:id="86"/>
      <w:bookmarkEnd w:id="87"/>
      <w:bookmarkEnd w:id="88"/>
      <w:bookmarkEnd w:id="89"/>
    </w:p>
    <w:p w:rsidR="00764EB5" w:rsidRDefault="00DF13CC" w:rsidP="003D6B28">
      <w:pPr>
        <w:spacing w:line="343" w:lineRule="auto"/>
        <w:rPr>
          <w:color w:val="auto"/>
          <w:szCs w:val="28"/>
        </w:rPr>
      </w:pPr>
      <w:r>
        <w:rPr>
          <w:color w:val="auto"/>
        </w:rPr>
        <w:t xml:space="preserve">(i) Phạm vi không gian: Nghiên cứu được thực hiện tại vùng Đông Nam Bộ theo đơn vị hành chính sau sắp xếp năm 2025, bao gồm các địa phương có thị trường căn hộ chung cư phát triển mạnh và có giá trị tham khảo trong phạm vi khảo sát như: bao gồm thành phố Hồ Chí Minh, tỉnh Đồng Nai và tỉnh Tây Ninh. </w:t>
      </w:r>
    </w:p>
    <w:p w:rsidR="00764EB5" w:rsidRDefault="00DF13CC" w:rsidP="003D6B28">
      <w:pPr>
        <w:spacing w:line="343" w:lineRule="auto"/>
        <w:rPr>
          <w:color w:val="auto"/>
          <w:szCs w:val="28"/>
        </w:rPr>
      </w:pPr>
      <w:r>
        <w:rPr>
          <w:color w:val="auto"/>
        </w:rPr>
        <w:t>(ii) Phạm vi nội dung: Nghiên cứu tập trung phân tích các yếu tố trong mô hình TPB mở rộng ảnh hưởng đến ý định mua và mức độ sẵn sàng ra quyết định mua căn hộ chung cư thương mại, bao gồm: Yếu tố tâm lý – xã hội theo TPB; Yếu tố Giá trị cảm nhận căn hộ; Yếu tố ý định mua và mức độ sẵn sàng ra quyết định mua căn hộ chung cư; Yếu tố pháp lý, uy tín chủ đầu tư, vị trí và phong thủy.</w:t>
      </w:r>
    </w:p>
    <w:p w:rsidR="00764EB5" w:rsidRDefault="00DF13CC" w:rsidP="003D6B28">
      <w:pPr>
        <w:spacing w:line="343" w:lineRule="auto"/>
        <w:rPr>
          <w:color w:val="auto"/>
          <w:spacing w:val="-4"/>
          <w:szCs w:val="28"/>
        </w:rPr>
      </w:pPr>
      <w:r>
        <w:rPr>
          <w:i/>
          <w:iCs/>
          <w:color w:val="auto"/>
          <w:spacing w:val="-4"/>
          <w:szCs w:val="28"/>
        </w:rPr>
        <w:t xml:space="preserve"> (iii) Phạm vi thời gian:</w:t>
      </w:r>
      <w:r>
        <w:rPr>
          <w:color w:val="auto"/>
          <w:spacing w:val="-4"/>
          <w:szCs w:val="28"/>
        </w:rPr>
        <w:t xml:space="preserve"> Dữ  liệu thu thập trong giai đoạn 2024–2025 phản ánh bối cảnh thị trường bất động sản đang có nhiều biến động về pháp lý, chính sách tín dụng và xu hướng tiêu dùng nhà ở tại Việt Nam.</w:t>
      </w:r>
    </w:p>
    <w:p w:rsidR="00764EB5" w:rsidRDefault="00DF13CC" w:rsidP="007B644D">
      <w:pPr>
        <w:pStyle w:val="Heading2"/>
      </w:pPr>
      <w:bookmarkStart w:id="90" w:name="_Toc227561047"/>
      <w:bookmarkStart w:id="91" w:name="_Toc234224075"/>
      <w:bookmarkStart w:id="92" w:name="_Toc238480582"/>
      <w:bookmarkStart w:id="93" w:name="_Toc241062414"/>
      <w:bookmarkStart w:id="94" w:name="_Toc241064329"/>
      <w:bookmarkStart w:id="95" w:name="_Toc241065262"/>
      <w:bookmarkStart w:id="96" w:name="_Toc241065473"/>
      <w:r>
        <w:lastRenderedPageBreak/>
        <w:t>5. Đóng góp  của luận án</w:t>
      </w:r>
      <w:bookmarkEnd w:id="90"/>
      <w:bookmarkEnd w:id="91"/>
      <w:bookmarkEnd w:id="92"/>
      <w:bookmarkEnd w:id="93"/>
      <w:bookmarkEnd w:id="94"/>
      <w:bookmarkEnd w:id="95"/>
      <w:bookmarkEnd w:id="96"/>
    </w:p>
    <w:p w:rsidR="00764EB5" w:rsidRDefault="00DF13CC" w:rsidP="00021C6B">
      <w:pPr>
        <w:pStyle w:val="Heading3"/>
      </w:pPr>
      <w:bookmarkStart w:id="97" w:name="_Toc238480691"/>
      <w:bookmarkStart w:id="98" w:name="_Toc241062415"/>
      <w:bookmarkStart w:id="99" w:name="_Toc241064330"/>
      <w:bookmarkStart w:id="100" w:name="_Toc241065263"/>
      <w:bookmarkStart w:id="101" w:name="_Toc241065474"/>
      <w:r>
        <w:t>5..1. Đóng góp về lý thuyết và học thuật</w:t>
      </w:r>
      <w:bookmarkEnd w:id="97"/>
      <w:bookmarkEnd w:id="98"/>
      <w:bookmarkEnd w:id="99"/>
      <w:bookmarkEnd w:id="100"/>
      <w:bookmarkEnd w:id="101"/>
    </w:p>
    <w:p w:rsidR="00764EB5" w:rsidRDefault="00DF13CC" w:rsidP="003D6B28">
      <w:pPr>
        <w:rPr>
          <w:color w:val="auto"/>
        </w:rPr>
      </w:pPr>
      <w:r>
        <w:rPr>
          <w:color w:val="auto"/>
        </w:rPr>
        <w:t xml:space="preserve">Đóng góp học thuật quan trọng nhất của luận án là bổ sung bằng chứng thực nghiệm về khả năng vận dụng TPB có mở rộng GTCN trong bối cảnh quyết định mua căn hộ tại Đông Nam Bộ. Các đóng góp thể hiện qua các điểm như: Nghiên cứu kết nối hai hướng tiếp cận thường được nghiên cứu tương đối tách biệt: hướng hành vi dựa trên TPB và hướng nghiên cứu thuộc tính – giá trị sản phẩm. GTCN </w:t>
      </w:r>
      <w:r w:rsidRPr="003D6B28">
        <w:rPr>
          <w:color w:val="auto"/>
          <w:spacing w:val="-4"/>
        </w:rPr>
        <w:t>giúp chuyển các thuộc tính đa dạng của căn hộ thành một đánh giá tổng hợp thay vì làm mô hình phân mảnh bởi quá nhiều biến riêng lẻ; Kết quả cho thấy CCQ vẫn có vai trò đáng kể. f² của CCQ cao nhất trong các biến dự báo YDM, cho thấy ảnh hưởng xã hội cần được xem xét nghiêm túc trong các quyết định tài sản lớn tại bối cảnh Việt Nam; Luận án phân biệt YDM với QDM. Sự phân biệt này giúp làm rõ tiến trình từ hình thành ý định đến trạng thái sẵn sàng hành động, qua đó xử lý một hạn chế của các nghiên cứu sử dụng “ý định”, “quyết định” và “hành vi” gần như tương đương; Kết quả làm rõ rằng không nên xác định mức độ quan trọng của biến chỉ bằng thứ tự β. Trường hợp GTCN và CCQ cho thấy kết luận cần xem xét đồng thời hệ số đường dẫn và f². Cách tiếp cận này làm cho diễn giải kết quả chặt chẽ hơn.</w:t>
      </w:r>
    </w:p>
    <w:p w:rsidR="00764EB5" w:rsidRDefault="00DF13CC" w:rsidP="00021C6B">
      <w:pPr>
        <w:pStyle w:val="Heading3"/>
      </w:pPr>
      <w:bookmarkStart w:id="102" w:name="_Toc238480692"/>
      <w:bookmarkStart w:id="103" w:name="_Toc241062416"/>
      <w:bookmarkStart w:id="104" w:name="_Toc241064331"/>
      <w:bookmarkStart w:id="105" w:name="_Toc241065264"/>
      <w:bookmarkStart w:id="106" w:name="_Toc241065475"/>
      <w:r>
        <w:t>5.2. Đóng góp về thực tiễn</w:t>
      </w:r>
      <w:bookmarkEnd w:id="102"/>
      <w:bookmarkEnd w:id="103"/>
      <w:bookmarkEnd w:id="104"/>
      <w:bookmarkEnd w:id="105"/>
      <w:bookmarkEnd w:id="106"/>
    </w:p>
    <w:p w:rsidR="00764EB5" w:rsidRDefault="00DF13CC" w:rsidP="003D6B28">
      <w:pPr>
        <w:rPr>
          <w:color w:val="auto"/>
        </w:rPr>
      </w:pPr>
      <w:r>
        <w:rPr>
          <w:color w:val="auto"/>
        </w:rPr>
        <w:t>Đóng góp thực tiễn không nằm ở một khuyến nghị đơn lẻ mà ở việc chuyển cấu trúc mô hình thành một chuỗi quản trị hành vi khách hàng. GTCN định hướng quản trị sản phẩm và giá trị; CCQ định hướng quản trị ảnh hưởng xã hội; TD định hướng quản trị nhận thức và trải nghiệm; NTHV định hướng giảm rào cản tài chính – thủ tục; YDM → QDM định hướng quản trị quá trình chuyển đổi. Như vậy, nghiên cứu cung cấp một logic quản trị xuyên suốt từ việc hình thành đánh giá của khách hàng đến trạng thái sẵn sàng giao dịch.</w:t>
      </w:r>
    </w:p>
    <w:p w:rsidR="00764EB5" w:rsidRDefault="00DF13CC" w:rsidP="00021C6B">
      <w:pPr>
        <w:pStyle w:val="Heading3"/>
      </w:pPr>
      <w:bookmarkStart w:id="107" w:name="_Toc238480693"/>
      <w:bookmarkStart w:id="108" w:name="_Toc241062417"/>
      <w:bookmarkStart w:id="109" w:name="_Toc241064332"/>
      <w:bookmarkStart w:id="110" w:name="_Toc241065265"/>
      <w:bookmarkStart w:id="111" w:name="_Toc241065476"/>
      <w:r>
        <w:t>5.3. Đóng góp về phương pháp</w:t>
      </w:r>
      <w:bookmarkEnd w:id="107"/>
      <w:bookmarkEnd w:id="108"/>
      <w:bookmarkEnd w:id="109"/>
      <w:bookmarkEnd w:id="110"/>
      <w:bookmarkEnd w:id="111"/>
    </w:p>
    <w:p w:rsidR="00764EB5" w:rsidRDefault="00DF13CC" w:rsidP="003D6B28">
      <w:pPr>
        <w:rPr>
          <w:color w:val="auto"/>
        </w:rPr>
      </w:pPr>
      <w:r>
        <w:rPr>
          <w:color w:val="auto"/>
        </w:rPr>
        <w:t xml:space="preserve">Luận án kết hợp nghiên cứu định tính hỗ trợ định lượng với PLS-SEM và đánh </w:t>
      </w:r>
      <w:r w:rsidRPr="003D6B28">
        <w:rPr>
          <w:color w:val="auto"/>
          <w:spacing w:val="-4"/>
        </w:rPr>
        <w:t xml:space="preserve">giá đồng thời mô hình đo lường, mô hình cấu trúc, R², f², Q², HTMT, VIF và tác động gián tiếp. Giá trị phương pháp không nằm ở việc sử dụng PLS-SEM như một kỹ thuật mới, mà ở cách sử dụng và diễn giải thận trọng. Q² được giới hạn ở mức liên quan dự </w:t>
      </w:r>
      <w:r w:rsidRPr="003D6B28">
        <w:rPr>
          <w:color w:val="auto"/>
          <w:spacing w:val="-4"/>
        </w:rPr>
        <w:lastRenderedPageBreak/>
        <w:t>báo trong quy trình blindfolding chứ không được xem là bằng chứng dự báo ngoài mẫu; tác động gián tiếp không bị suy rộng thành “trung gian toàn phần” hoặc “một phần” khi chưa có đường trực tiếp; model fit không được kết luận chỉ dựa vào một chỉ số. Cách tiếp cận này nâng cao độ tin cậy của việc diễn giải kết quả.</w:t>
      </w:r>
    </w:p>
    <w:p w:rsidR="00764EB5" w:rsidRDefault="00DF13CC" w:rsidP="007B644D">
      <w:pPr>
        <w:pStyle w:val="Heading2"/>
      </w:pPr>
      <w:bookmarkStart w:id="112" w:name="_Toc227561048"/>
      <w:bookmarkStart w:id="113" w:name="_Toc234224076"/>
      <w:bookmarkStart w:id="114" w:name="_Toc238480583"/>
      <w:bookmarkStart w:id="115" w:name="_Toc241062418"/>
      <w:bookmarkStart w:id="116" w:name="_Toc241064333"/>
      <w:bookmarkStart w:id="117" w:name="_Toc241065266"/>
      <w:bookmarkStart w:id="118" w:name="_Toc241065477"/>
      <w:r>
        <w:t>6. Bố cục luận án</w:t>
      </w:r>
      <w:bookmarkEnd w:id="112"/>
      <w:bookmarkEnd w:id="113"/>
      <w:bookmarkEnd w:id="114"/>
      <w:bookmarkEnd w:id="115"/>
      <w:bookmarkEnd w:id="116"/>
      <w:bookmarkEnd w:id="117"/>
      <w:bookmarkEnd w:id="118"/>
    </w:p>
    <w:p w:rsidR="00764EB5" w:rsidRDefault="00DF13CC" w:rsidP="003D6B28">
      <w:pPr>
        <w:rPr>
          <w:color w:val="auto"/>
        </w:rPr>
      </w:pPr>
      <w:r>
        <w:rPr>
          <w:color w:val="auto"/>
        </w:rPr>
        <w:t>Luận án được kết cấu thành 05 chương chính, ngoài phần Mở đầu, Kết luận, Tài liệu tham khảo và Phụ lục. Trong đó:</w:t>
      </w:r>
    </w:p>
    <w:p w:rsidR="00764EB5" w:rsidRDefault="00DF13CC" w:rsidP="003D6B28">
      <w:pPr>
        <w:rPr>
          <w:b/>
          <w:bCs/>
          <w:color w:val="auto"/>
        </w:rPr>
      </w:pPr>
      <w:r>
        <w:rPr>
          <w:color w:val="auto"/>
        </w:rPr>
        <w:t>Chương 1: Tổng quan nghiên cứu và khoảng trống nghiên cứu</w:t>
      </w:r>
    </w:p>
    <w:p w:rsidR="00764EB5" w:rsidRDefault="00DF13CC" w:rsidP="003D6B28">
      <w:pPr>
        <w:rPr>
          <w:b/>
          <w:bCs/>
          <w:color w:val="auto"/>
        </w:rPr>
      </w:pPr>
      <w:r>
        <w:rPr>
          <w:color w:val="auto"/>
        </w:rPr>
        <w:t>Chương 2: Cơ sở lý luận và mô hình nghiên cứu</w:t>
      </w:r>
    </w:p>
    <w:p w:rsidR="00764EB5" w:rsidRDefault="00DF13CC" w:rsidP="003D6B28">
      <w:pPr>
        <w:rPr>
          <w:b/>
          <w:bCs/>
          <w:color w:val="auto"/>
        </w:rPr>
      </w:pPr>
      <w:r>
        <w:rPr>
          <w:color w:val="auto"/>
        </w:rPr>
        <w:t>Chương 3: Phương pháp nghiên cứu</w:t>
      </w:r>
    </w:p>
    <w:p w:rsidR="00764EB5" w:rsidRDefault="00DF13CC" w:rsidP="003D6B28">
      <w:pPr>
        <w:rPr>
          <w:b/>
          <w:bCs/>
          <w:color w:val="auto"/>
        </w:rPr>
      </w:pPr>
      <w:r>
        <w:rPr>
          <w:color w:val="auto"/>
        </w:rPr>
        <w:t>Chương 4: Kết quả nghiên cứu và thảo luận</w:t>
      </w:r>
    </w:p>
    <w:p w:rsidR="00764EB5" w:rsidRDefault="00DF13CC" w:rsidP="003D6B28">
      <w:pPr>
        <w:rPr>
          <w:b/>
          <w:bCs/>
          <w:color w:val="auto"/>
        </w:rPr>
      </w:pPr>
      <w:r>
        <w:rPr>
          <w:color w:val="auto"/>
        </w:rPr>
        <w:t>Chương 5: Các khuyến nghị hàm ý quản trị</w:t>
      </w:r>
    </w:p>
    <w:p w:rsidR="00764EB5" w:rsidRDefault="00DF13CC" w:rsidP="003D6B28">
      <w:pPr>
        <w:pStyle w:val="Heading1"/>
        <w:ind w:firstLine="0"/>
        <w:rPr>
          <w:rFonts w:ascii="Times New Roman" w:hAnsi="Times New Roman"/>
          <w:color w:val="auto"/>
          <w:sz w:val="26"/>
        </w:rPr>
      </w:pPr>
      <w:r>
        <w:rPr>
          <w:rFonts w:ascii="Times New Roman" w:hAnsi="Times New Roman"/>
          <w:color w:val="auto"/>
          <w:sz w:val="26"/>
        </w:rPr>
        <w:br w:type="page"/>
      </w:r>
    </w:p>
    <w:p w:rsidR="00764EB5" w:rsidRDefault="00DF13CC" w:rsidP="003D6B28">
      <w:pPr>
        <w:pStyle w:val="Heading1"/>
        <w:ind w:firstLine="0"/>
        <w:rPr>
          <w:color w:val="auto"/>
        </w:rPr>
      </w:pPr>
      <w:bookmarkStart w:id="119" w:name="_Toc241062419"/>
      <w:bookmarkStart w:id="120" w:name="_Toc241064334"/>
      <w:bookmarkStart w:id="121" w:name="_Toc241065267"/>
      <w:bookmarkStart w:id="122" w:name="_Toc241065478"/>
      <w:r>
        <w:rPr>
          <w:rFonts w:ascii="Times New Roman" w:hAnsi="Times New Roman"/>
          <w:color w:val="auto"/>
          <w:sz w:val="26"/>
        </w:rPr>
        <w:lastRenderedPageBreak/>
        <w:t>CHƯƠNG 1: TỔNG QUAN NGHIÊN CỨU</w:t>
      </w:r>
      <w:bookmarkEnd w:id="119"/>
      <w:bookmarkEnd w:id="120"/>
      <w:bookmarkEnd w:id="121"/>
      <w:bookmarkEnd w:id="122"/>
      <w:r>
        <w:rPr>
          <w:rFonts w:ascii="Times New Roman" w:hAnsi="Times New Roman"/>
          <w:color w:val="auto"/>
          <w:sz w:val="26"/>
        </w:rPr>
        <w:t xml:space="preserve"> </w:t>
      </w:r>
    </w:p>
    <w:p w:rsidR="00764EB5" w:rsidRDefault="00764EB5" w:rsidP="003D6B28">
      <w:pPr>
        <w:rPr>
          <w:color w:val="auto"/>
          <w:sz w:val="10"/>
        </w:rPr>
      </w:pPr>
    </w:p>
    <w:p w:rsidR="00764EB5" w:rsidRDefault="00DF13CC" w:rsidP="007B644D">
      <w:pPr>
        <w:pStyle w:val="Heading2"/>
      </w:pPr>
      <w:bookmarkStart w:id="123" w:name="_Toc241062420"/>
      <w:bookmarkStart w:id="124" w:name="_Toc241064335"/>
      <w:bookmarkStart w:id="125" w:name="_Toc241065268"/>
      <w:bookmarkStart w:id="126" w:name="_Toc241065479"/>
      <w:r>
        <w:t>1.1. Tổng quan các nghiên cứu liên quan trong nước</w:t>
      </w:r>
      <w:bookmarkEnd w:id="123"/>
      <w:bookmarkEnd w:id="124"/>
      <w:bookmarkEnd w:id="125"/>
      <w:bookmarkEnd w:id="126"/>
    </w:p>
    <w:p w:rsidR="00764EB5" w:rsidRDefault="00DF13CC" w:rsidP="003D6B28">
      <w:pPr>
        <w:rPr>
          <w:color w:val="auto"/>
        </w:rPr>
      </w:pPr>
      <w:r>
        <w:rPr>
          <w:color w:val="auto"/>
        </w:rPr>
        <w:t>Trong bối cảnh thị trường bất động sản Việt Nam phát triển nhanh, đặc biệt tại khu vực Đông Nam Bộ, các nghiên cứu về hành vi khách hàng mua căn hộ chung cư ngày càng gia tăng cả về số lượng và chiều sâu. Các nghiên cứu trong nước chủ yếu tập trung vào ba hướng tiếp cận chính: (i) xác định các yếu tố ảnh hưởng đến quyết định mua, (ii) phân tích hành vi và ý định mua dựa trên các mô hình lý thuyết, và (iii) đánh giá vai trò của các yếu tố đặc thù như pháp lý, tài chính và văn hóa.</w:t>
      </w:r>
    </w:p>
    <w:p w:rsidR="00764EB5" w:rsidRDefault="00DF13CC" w:rsidP="003D6B28">
      <w:pPr>
        <w:rPr>
          <w:color w:val="auto"/>
        </w:rPr>
      </w:pPr>
      <w:r>
        <w:rPr>
          <w:color w:val="auto"/>
        </w:rPr>
        <w:t>Thứ nhất, nhóm nghiên cứu theo hướng thuộc tính và tiêu chí lựa chọn nhà ở thường sử dụng các kỹ thuật định lượng để nhận diện vai trò của vị trí, chất lượng, tiện ích, giá và đặc điểm dự án. Tại Việt Nam, Hoàng Văn Cường và Nguyễn Thị Tùng Phương (2017) cho thấy phong cách sống có liên hệ với hệ tiêu chí lựa chọn căn hộ; Đoàn Thị Thúy Hải, Nguyễn Thị Dương và Trần Thị Thu Vy (2021) tiếp tục nhận diện các yếu tố gắn với quyết định mua căn hộ tại Đà Nẵng. Các nghiên cứu này cung cấp bằng chứng hữu ích về thuộc tính lựa chọn, nhưng chủ yếu tập trung vào quan hệ trực tiếp và chưa giải thích đầy đủ chuỗi quan hệ từ nhận thức, ý định đến mức độ sẵn sàng ra quyết định.</w:t>
      </w:r>
    </w:p>
    <w:p w:rsidR="00764EB5" w:rsidRDefault="00DF13CC" w:rsidP="003D6B28">
      <w:pPr>
        <w:rPr>
          <w:color w:val="auto"/>
        </w:rPr>
      </w:pPr>
      <w:r>
        <w:rPr>
          <w:color w:val="auto"/>
        </w:rPr>
        <w:t>Thứ hai, nhóm nghiên cứu tiếp cận theo mô hình hành vi đã vận dụng TPB và các biến mở rộng để giải thích ý định mua nhà/căn hộ. Trần Xuân Lượng (2021) xây dựng mô hình về ý định mua nhà ở khu vực đô thị Việt Nam, trong đó bổ sung vị trí và tính pháp lý; Pham Dinh et al. (2022) kiểm định TPB mở rộng đối với ý định mua căn hộ tại Việt Nam. Hướng tiếp cận này cho phép đánh giá đồng thời các quan hệ giữa thái độ, chuẩn chủ quan, nhận thức kiểm soát hành vi và các biến bổ sung, nhưng cũng đặt ra yêu cầu phải đặc tả rõ khái niệm và giới hạn phạm vi suy luận của từng biến.</w:t>
      </w:r>
    </w:p>
    <w:p w:rsidR="00764EB5" w:rsidRDefault="00DF13CC" w:rsidP="003D6B28">
      <w:pPr>
        <w:spacing w:line="353" w:lineRule="auto"/>
        <w:rPr>
          <w:color w:val="auto"/>
        </w:rPr>
      </w:pPr>
      <w:r>
        <w:rPr>
          <w:color w:val="auto"/>
        </w:rPr>
        <w:t xml:space="preserve">Thứ ba, một hướng nghiên cứu nhấn mạnh vai trò của yếu tố tâm lý và xã hội. Levy, Murphy và Lee (2008) chỉ ra rằng mua nhà là quá trình ra quyết định có sự tương tác giữa các thành viên gia đình; Koklič (2011) làm rõ vai trò của rủi ro cảm nhận và hành vi tìm kiếm thông tin; trong bối cảnh Việt Nam, Pham Dinh et al. (2022) cho thấy chuẩn chủ quan là một cấu phần có ý nghĩa trong mô hình TPB mở </w:t>
      </w:r>
      <w:r>
        <w:rPr>
          <w:color w:val="auto"/>
        </w:rPr>
        <w:lastRenderedPageBreak/>
        <w:t>rộng về ý định mua căn hộ. Nhóm nghiên cứu này cho thấy cần xem xét đồng thời tác động xã hội, nhận thức rủi ro và nguồn lực cá nhân thay vì chỉ tập trung vào thuộc tính vật lý của căn hộ.</w:t>
      </w:r>
    </w:p>
    <w:p w:rsidR="00764EB5" w:rsidRDefault="00DF13CC" w:rsidP="003D6B28">
      <w:pPr>
        <w:spacing w:line="353" w:lineRule="auto"/>
        <w:rPr>
          <w:color w:val="auto"/>
        </w:rPr>
      </w:pPr>
      <w:r>
        <w:rPr>
          <w:color w:val="auto"/>
        </w:rPr>
        <w:t>Ngoài ra, các nghiên cứu gần chủ đề tại Việt Nam ngày càng chú trọng đến những thuộc tính đặc thù của thị trường nhà ở. Trần Xuân Lượng (2021) bổ sung vị trí và tính pháp lý vào mô hình giải thích ý định mua nhà ở đô thị; Phạm Đình Hân (2023) và Pham Dinh et al. (2022) tiếp tục kiểm định TPB mở rộng đối với ý định mua căn hộ. Ở phương diện văn hóa, lý thuyết văn hóa tiêu dùng của Arnould và Thompson (2005) cung cấp cơ sở để xem xét các biểu hiện văn hóa như một phần của quá trình đánh giá sản phẩm; tuy nhiên, trong luận án này phong thủy không được kiểm định như một biến độc lập mà chỉ được sử dụng để diễn giải nội hàm Giá trị cảm nhận căn hộ.</w:t>
      </w:r>
    </w:p>
    <w:p w:rsidR="00764EB5" w:rsidRDefault="00DF13CC" w:rsidP="003D6B28">
      <w:pPr>
        <w:spacing w:line="353" w:lineRule="auto"/>
        <w:rPr>
          <w:color w:val="auto"/>
        </w:rPr>
      </w:pPr>
      <w:r>
        <w:rPr>
          <w:color w:val="auto"/>
        </w:rPr>
        <w:t>Ở góc độ tài chính và thể chế, khả năng tiếp cận nguồn tiền, mức độ kiểm soát nguồn lực và môi trường pháp lý là các điều kiện quan trọng đối với ý định mua nhà. Islam, Saidin, Ayub và Islam (2022) cho thấy khả năng tiếp cận nguồn tiền có ý nghĩa trong mô hình ý định mua căn hộ; Trần Xuân Lượng (2021) cũng ghi nhận vai trò của các điều kiện pháp lý và vị trí đối với ý định mua nhà ở đô thị Việt Nam. Ở cấp độ chính sách, các báo cáo của World Bank (2015) và Bộ Xây dựng (2025) nhấn mạnh vấn đề khả năng chi trả, nguồn cung và minh bạch thị trường. Các kết quả này tạo cơ sở để luận án đặt nhận thức kiểm soát hành vi và giá trị cảm nhận trong bối cảnh tài chính - pháp lý cụ thể của vùng Đông Nam Bộ.</w:t>
      </w:r>
    </w:p>
    <w:p w:rsidR="00764EB5" w:rsidRDefault="00DF13CC" w:rsidP="003D6B28">
      <w:pPr>
        <w:spacing w:line="353" w:lineRule="auto"/>
        <w:rPr>
          <w:color w:val="auto"/>
        </w:rPr>
      </w:pPr>
      <w:r>
        <w:rPr>
          <w:color w:val="auto"/>
        </w:rPr>
        <w:t xml:space="preserve">Đáng chú ý, các luận án tiến sĩ gần chủ đề đã bổ sung chiều sâu cho hướng nghiên cứu này. Nguyễn Thị Tùng Phương (2019) nghiên cứu lựa chọn căn hộ chung cư tại Hà Nội, sử dụng EFA, CFA, SEM và hồi quy để làm rõ ảnh hưởng của phong cách sống và giai đoạn phát triển gia đình đến tiêu chí lựa chọn căn hộ. Nguyễn Hữu Cường (2020) phân tích các nhân tố ảnh hưởng đến giá bán căn hộ chung cư cao cấp tại Hà Nội, nhấn mạnh vị trí, môi trường, chất lượng dịch vụ, đặc điểm chủ đầu tư và phân khúc khách hàng. Trần Xuân Lượng (2021) phát triển mô hình TPB cho ý định mua nhà ở khu vực đô thị Việt Nam, bổ sung vị trí và tính pháp lý; Phạm Đình Hân (2023) tiếp tục nghiên cứu các nhân tố ảnh hưởng đến ý định mua căn hộ chung cư thương mại tại TP. Hồ Chí Minh. Các công trình này cho </w:t>
      </w:r>
      <w:r>
        <w:rPr>
          <w:color w:val="auto"/>
        </w:rPr>
        <w:lastRenderedPageBreak/>
        <w:t>thấy hướng nghiên cứu trong nước đã chuyển từ nhận diện thuộc tính riêng lẻ sang các mô hình giải thích có cơ sở lý thuyết rõ hơn.</w:t>
      </w:r>
    </w:p>
    <w:p w:rsidR="00764EB5" w:rsidRPr="003D6B28" w:rsidRDefault="00DF13CC" w:rsidP="003D6B28">
      <w:pPr>
        <w:spacing w:line="343" w:lineRule="auto"/>
        <w:rPr>
          <w:color w:val="auto"/>
          <w:spacing w:val="-4"/>
        </w:rPr>
      </w:pPr>
      <w:r w:rsidRPr="003D6B28">
        <w:rPr>
          <w:color w:val="auto"/>
          <w:spacing w:val="-4"/>
        </w:rPr>
        <w:t>Ở cấp bài báo, Hoàng Văn Cường và Nguyễn Thị Tùng Phương (2017) làm rõ mối liên hệ giữa phong cách sống và tiêu chí lựa chọn căn hộ; Trần Xuân Lượng, Phạm Văn Linh và Phạm Lan Hương (2020) phân tích ý định mua nhà chung cư khu vực đô thị; Đoàn Thị Thúy Hải, Nguyễn Thị Dương và Trần Thị Thu Vy (2021) nghiên cứu quyết định mua căn hộ tại Đà Nẵng. Pham Dinh et al. (2022) kiểm định TPB mở rộng trên người tiêu dùng Việt Nam, còn Phạm Đình Hân, Lê Thị Diệu Huyên và Vũ Quốc Quý (2024) tiếp tục phát triển mô hình dự đoán ý định mua căn hộ. Chuỗi nghiên cứu này cho thấy khoảng trống của luận án không nằm ở việc “chưa có nghiên cứu”, mà ở sự kết hợp bối cảnh vùng Đông Nam Bộ, cách đặc tả Giá trị cảm nhận căn hộ và cơ chế từ Ý định mua đến mức độ sẵn sàng ra quyết định mua.</w:t>
      </w:r>
    </w:p>
    <w:p w:rsidR="00764EB5" w:rsidRDefault="00DF13CC" w:rsidP="003D6B28">
      <w:pPr>
        <w:spacing w:line="343" w:lineRule="auto"/>
        <w:rPr>
          <w:color w:val="auto"/>
        </w:rPr>
      </w:pPr>
      <w:r>
        <w:rPr>
          <w:color w:val="auto"/>
        </w:rPr>
        <w:t>Nhìn chung, các nghiên cứu trong nước đã có những đóng góp đáng kể trong việc nhận diện các yếu tố ảnh hưởng đến hành vi khách hàng mua căn hộ chung cư. Tuy nhiên, về phương pháp nghiên cứu, phần lớn các công trình vẫn sử dụng các kỹ thuật phân tích truyền thống như hồi quy tuyến tính, EFA hoặc SEM cơ bản, trong khi việc áp dụng các phương pháp hiện đại như PLS-SEM để kiểm định mô hình tích hợp vẫn còn hạn chế.</w:t>
      </w:r>
    </w:p>
    <w:p w:rsidR="00764EB5" w:rsidRDefault="00DF13CC" w:rsidP="00021C6B">
      <w:pPr>
        <w:pStyle w:val="DMB"/>
        <w:outlineLvl w:val="0"/>
      </w:pPr>
      <w:bookmarkStart w:id="127" w:name="__RefHeading___Toc7787_1147916741"/>
      <w:bookmarkStart w:id="128" w:name="_Toc226534652"/>
      <w:bookmarkStart w:id="129" w:name="_Toc238482011"/>
      <w:bookmarkStart w:id="130" w:name="_Toc241064336"/>
      <w:bookmarkStart w:id="131" w:name="_Toc241065480"/>
      <w:bookmarkEnd w:id="127"/>
      <w:r>
        <w:t>Bảng 1.</w:t>
      </w:r>
      <w:r w:rsidR="002E378C">
        <w:fldChar w:fldCharType="begin"/>
      </w:r>
      <w:r w:rsidR="002E378C">
        <w:instrText xml:space="preserve"> SEQ Bảng_1. \* ARABIC </w:instrText>
      </w:r>
      <w:r w:rsidR="002E378C">
        <w:fldChar w:fldCharType="separate"/>
      </w:r>
      <w:r w:rsidR="00783A1B">
        <w:rPr>
          <w:noProof/>
        </w:rPr>
        <w:t>1</w:t>
      </w:r>
      <w:r w:rsidR="002E378C">
        <w:rPr>
          <w:noProof/>
        </w:rPr>
        <w:fldChar w:fldCharType="end"/>
      </w:r>
      <w:r>
        <w:t>. So sánh các nghiên cứu trong nước</w:t>
      </w:r>
      <w:bookmarkEnd w:id="128"/>
      <w:bookmarkEnd w:id="129"/>
      <w:bookmarkEnd w:id="130"/>
      <w:bookmarkEnd w:id="131"/>
    </w:p>
    <w:tbl>
      <w:tblPr>
        <w:tblW w:w="9889" w:type="dxa"/>
        <w:tblInd w:w="-459" w:type="dxa"/>
        <w:tblLayout w:type="fixed"/>
        <w:tblLook w:val="04A0" w:firstRow="1" w:lastRow="0" w:firstColumn="1" w:lastColumn="0" w:noHBand="0" w:noVBand="1"/>
      </w:tblPr>
      <w:tblGrid>
        <w:gridCol w:w="1464"/>
        <w:gridCol w:w="1203"/>
        <w:gridCol w:w="1099"/>
        <w:gridCol w:w="1240"/>
        <w:gridCol w:w="1623"/>
        <w:gridCol w:w="1735"/>
        <w:gridCol w:w="1525"/>
      </w:tblGrid>
      <w:tr w:rsidR="00764EB5" w:rsidTr="003D6B28">
        <w:tc>
          <w:tcPr>
            <w:tcW w:w="1464"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left="-57" w:right="-57" w:firstLine="0"/>
              <w:jc w:val="center"/>
              <w:rPr>
                <w:b/>
                <w:bCs/>
                <w:color w:val="auto"/>
              </w:rPr>
            </w:pPr>
            <w:r>
              <w:rPr>
                <w:b/>
                <w:bCs/>
                <w:color w:val="auto"/>
              </w:rPr>
              <w:t>Tác giả (năm)</w:t>
            </w:r>
          </w:p>
        </w:tc>
        <w:tc>
          <w:tcPr>
            <w:tcW w:w="1203"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left="-57" w:right="-57" w:firstLine="0"/>
              <w:jc w:val="center"/>
              <w:rPr>
                <w:b/>
                <w:bCs/>
                <w:color w:val="auto"/>
              </w:rPr>
            </w:pPr>
            <w:r>
              <w:rPr>
                <w:b/>
                <w:bCs/>
                <w:color w:val="auto"/>
              </w:rPr>
              <w:t>Chủ đề</w:t>
            </w:r>
          </w:p>
        </w:tc>
        <w:tc>
          <w:tcPr>
            <w:tcW w:w="1099"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left="-57" w:right="-57" w:firstLine="0"/>
              <w:jc w:val="center"/>
              <w:rPr>
                <w:b/>
                <w:bCs/>
                <w:color w:val="auto"/>
              </w:rPr>
            </w:pPr>
            <w:r>
              <w:rPr>
                <w:b/>
                <w:bCs/>
                <w:color w:val="auto"/>
              </w:rPr>
              <w:t>Đối tượng</w:t>
            </w:r>
          </w:p>
        </w:tc>
        <w:tc>
          <w:tcPr>
            <w:tcW w:w="1240"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left="-57" w:right="-57" w:firstLine="0"/>
              <w:jc w:val="center"/>
              <w:rPr>
                <w:b/>
                <w:bCs/>
                <w:color w:val="auto"/>
              </w:rPr>
            </w:pPr>
            <w:r>
              <w:rPr>
                <w:b/>
                <w:bCs/>
                <w:color w:val="auto"/>
              </w:rPr>
              <w:t>Phạm vi</w:t>
            </w:r>
          </w:p>
        </w:tc>
        <w:tc>
          <w:tcPr>
            <w:tcW w:w="1623"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left="-57" w:right="-57" w:firstLine="0"/>
              <w:jc w:val="center"/>
              <w:rPr>
                <w:b/>
                <w:bCs/>
                <w:color w:val="auto"/>
              </w:rPr>
            </w:pPr>
            <w:r>
              <w:rPr>
                <w:b/>
                <w:bCs/>
                <w:color w:val="auto"/>
              </w:rPr>
              <w:t>Phương pháp nghiên cứu</w:t>
            </w:r>
          </w:p>
        </w:tc>
        <w:tc>
          <w:tcPr>
            <w:tcW w:w="1735"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left="-57" w:right="-57" w:firstLine="0"/>
              <w:jc w:val="center"/>
              <w:rPr>
                <w:b/>
                <w:bCs/>
                <w:color w:val="auto"/>
              </w:rPr>
            </w:pPr>
            <w:r>
              <w:rPr>
                <w:b/>
                <w:bCs/>
                <w:color w:val="auto"/>
              </w:rPr>
              <w:t>Kết quả chính</w:t>
            </w:r>
          </w:p>
        </w:tc>
        <w:tc>
          <w:tcPr>
            <w:tcW w:w="1525"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left="-57" w:right="-57" w:firstLine="0"/>
              <w:jc w:val="center"/>
              <w:rPr>
                <w:b/>
                <w:bCs/>
                <w:color w:val="auto"/>
              </w:rPr>
            </w:pPr>
            <w:r>
              <w:rPr>
                <w:b/>
                <w:bCs/>
                <w:color w:val="auto"/>
              </w:rPr>
              <w:t>Hạn chế</w:t>
            </w:r>
          </w:p>
        </w:tc>
      </w:tr>
      <w:tr w:rsidR="00764EB5" w:rsidRPr="003D6B28" w:rsidTr="003D6B28">
        <w:tc>
          <w:tcPr>
            <w:tcW w:w="1464"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6"/>
              </w:rPr>
            </w:pPr>
            <w:r w:rsidRPr="003D6B28">
              <w:rPr>
                <w:color w:val="auto"/>
                <w:spacing w:val="-6"/>
              </w:rPr>
              <w:t>Hoàng Văn Cường và Nguyễn Thị Tùng Phương (2017)</w:t>
            </w:r>
          </w:p>
        </w:tc>
        <w:tc>
          <w:tcPr>
            <w:tcW w:w="120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6"/>
              </w:rPr>
            </w:pPr>
            <w:r w:rsidRPr="003D6B28">
              <w:rPr>
                <w:color w:val="auto"/>
                <w:spacing w:val="-6"/>
              </w:rPr>
              <w:t>Phong cách sống và  lựa chọn căn hộ</w:t>
            </w:r>
          </w:p>
        </w:tc>
        <w:tc>
          <w:tcPr>
            <w:tcW w:w="1099"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6"/>
              </w:rPr>
            </w:pPr>
            <w:r w:rsidRPr="003D6B28">
              <w:rPr>
                <w:color w:val="auto"/>
                <w:spacing w:val="-6"/>
              </w:rPr>
              <w:t>Người lựa chọn căn hộ</w:t>
            </w:r>
          </w:p>
        </w:tc>
        <w:tc>
          <w:tcPr>
            <w:tcW w:w="1240"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6"/>
              </w:rPr>
            </w:pPr>
            <w:r w:rsidRPr="003D6B28">
              <w:rPr>
                <w:color w:val="auto"/>
                <w:spacing w:val="-6"/>
              </w:rPr>
              <w:t>Hà Nội</w:t>
            </w:r>
          </w:p>
        </w:tc>
        <w:tc>
          <w:tcPr>
            <w:tcW w:w="162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6"/>
              </w:rPr>
            </w:pPr>
            <w:r w:rsidRPr="003D6B28">
              <w:rPr>
                <w:color w:val="auto"/>
                <w:spacing w:val="-6"/>
              </w:rPr>
              <w:t>Nghiên cứu định lượng</w:t>
            </w:r>
          </w:p>
        </w:tc>
        <w:tc>
          <w:tcPr>
            <w:tcW w:w="173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6"/>
              </w:rPr>
            </w:pPr>
            <w:r w:rsidRPr="003D6B28">
              <w:rPr>
                <w:color w:val="auto"/>
                <w:spacing w:val="-6"/>
              </w:rPr>
              <w:t>Phong cách sống có liên hệ với  lựa chọn căn hộ</w:t>
            </w:r>
          </w:p>
        </w:tc>
        <w:tc>
          <w:tcPr>
            <w:tcW w:w="152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6"/>
              </w:rPr>
            </w:pPr>
            <w:r w:rsidRPr="003D6B28">
              <w:rPr>
                <w:color w:val="auto"/>
                <w:spacing w:val="-6"/>
              </w:rPr>
              <w:t>Tập trung một địa bàn; chưa kiểm định chuỗi quan hệ theo TPB</w:t>
            </w:r>
          </w:p>
        </w:tc>
      </w:tr>
      <w:tr w:rsidR="00764EB5" w:rsidRPr="003D6B28" w:rsidTr="003D6B28">
        <w:tc>
          <w:tcPr>
            <w:tcW w:w="1464"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10"/>
              </w:rPr>
            </w:pPr>
            <w:r w:rsidRPr="003D6B28">
              <w:rPr>
                <w:color w:val="auto"/>
                <w:spacing w:val="-10"/>
              </w:rPr>
              <w:t>Nguyễn Thị Tùng Phương (2019)</w:t>
            </w:r>
          </w:p>
        </w:tc>
        <w:tc>
          <w:tcPr>
            <w:tcW w:w="120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10"/>
              </w:rPr>
            </w:pPr>
            <w:r w:rsidRPr="003D6B28">
              <w:rPr>
                <w:color w:val="auto"/>
                <w:spacing w:val="-10"/>
              </w:rPr>
              <w:t>Lựa chọn căn hộ chung cư khu vực đô thị</w:t>
            </w:r>
          </w:p>
        </w:tc>
        <w:tc>
          <w:tcPr>
            <w:tcW w:w="1099"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10"/>
              </w:rPr>
            </w:pPr>
            <w:r w:rsidRPr="003D6B28">
              <w:rPr>
                <w:color w:val="auto"/>
                <w:spacing w:val="-10"/>
              </w:rPr>
              <w:t>Khách hàng lựa chọn căn hộ</w:t>
            </w:r>
          </w:p>
        </w:tc>
        <w:tc>
          <w:tcPr>
            <w:tcW w:w="1240"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10"/>
              </w:rPr>
            </w:pPr>
            <w:r w:rsidRPr="003D6B28">
              <w:rPr>
                <w:color w:val="auto"/>
                <w:spacing w:val="-10"/>
              </w:rPr>
              <w:t>Hà Nội</w:t>
            </w:r>
          </w:p>
        </w:tc>
        <w:tc>
          <w:tcPr>
            <w:tcW w:w="162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10"/>
              </w:rPr>
            </w:pPr>
            <w:r w:rsidRPr="003D6B28">
              <w:rPr>
                <w:color w:val="auto"/>
                <w:spacing w:val="-10"/>
              </w:rPr>
              <w:t>EFA, CFA, SEM và hồi quy</w:t>
            </w:r>
          </w:p>
        </w:tc>
        <w:tc>
          <w:tcPr>
            <w:tcW w:w="173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10"/>
              </w:rPr>
            </w:pPr>
            <w:r w:rsidRPr="003D6B28">
              <w:rPr>
                <w:color w:val="auto"/>
                <w:spacing w:val="-10"/>
              </w:rPr>
              <w:t>Hệ thống hóa và kiểm định các nhóm tiêu chí liên quan đến lựa chọn căn hộ</w:t>
            </w:r>
          </w:p>
        </w:tc>
        <w:tc>
          <w:tcPr>
            <w:tcW w:w="152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10"/>
              </w:rPr>
            </w:pPr>
            <w:r w:rsidRPr="003D6B28">
              <w:rPr>
                <w:color w:val="auto"/>
                <w:spacing w:val="-10"/>
              </w:rPr>
              <w:t>Bối cảnh Hà Nội; trọng tâm là lựa chọn căn hộ</w:t>
            </w:r>
          </w:p>
        </w:tc>
      </w:tr>
      <w:tr w:rsidR="00764EB5" w:rsidRPr="003D6B28" w:rsidTr="003D6B28">
        <w:tc>
          <w:tcPr>
            <w:tcW w:w="1464"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lastRenderedPageBreak/>
              <w:t>Nguyễn Hữu Cường (2020)</w:t>
            </w:r>
          </w:p>
        </w:tc>
        <w:tc>
          <w:tcPr>
            <w:tcW w:w="120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Các nhân tố ảnh hưởng đến giá bán căn hộ chung cư cao cấp</w:t>
            </w:r>
          </w:p>
        </w:tc>
        <w:tc>
          <w:tcPr>
            <w:tcW w:w="1099"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Căn hộ/dự án cao cấp</w:t>
            </w:r>
          </w:p>
        </w:tc>
        <w:tc>
          <w:tcPr>
            <w:tcW w:w="1240"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Hà Nội</w:t>
            </w:r>
          </w:p>
        </w:tc>
        <w:tc>
          <w:tcPr>
            <w:tcW w:w="162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Nghiên cứu định lượng</w:t>
            </w:r>
          </w:p>
        </w:tc>
        <w:tc>
          <w:tcPr>
            <w:tcW w:w="173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Làm rõ các nhân tố liên quan đến giá bán căn hộ cao cấp</w:t>
            </w:r>
          </w:p>
        </w:tc>
        <w:tc>
          <w:tcPr>
            <w:tcW w:w="152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Tập trung vào giá bán, không trực tiếp giải thích ý định mua</w:t>
            </w:r>
          </w:p>
        </w:tc>
      </w:tr>
      <w:tr w:rsidR="00764EB5" w:rsidRPr="003D6B28" w:rsidTr="003D6B28">
        <w:tc>
          <w:tcPr>
            <w:tcW w:w="1464"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Trần Xuân Lượng và CS (2020)</w:t>
            </w:r>
          </w:p>
        </w:tc>
        <w:tc>
          <w:tcPr>
            <w:tcW w:w="120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Các nhân tố ảnh hưởng đến ý định mua nhà chung cư đô thị</w:t>
            </w:r>
          </w:p>
        </w:tc>
        <w:tc>
          <w:tcPr>
            <w:tcW w:w="1099"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Người mua/khách hàng tiềm năng</w:t>
            </w:r>
          </w:p>
        </w:tc>
        <w:tc>
          <w:tcPr>
            <w:tcW w:w="1240"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Việt Nam</w:t>
            </w:r>
          </w:p>
        </w:tc>
        <w:tc>
          <w:tcPr>
            <w:tcW w:w="162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Nghiên cứu định lượng</w:t>
            </w:r>
          </w:p>
        </w:tc>
        <w:tc>
          <w:tcPr>
            <w:tcW w:w="173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Nhận diện các nhân tố có liên hệ với ý định mua nhà chung cư</w:t>
            </w:r>
          </w:p>
        </w:tc>
        <w:tc>
          <w:tcPr>
            <w:tcW w:w="152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Trọng tâm là ý định; chưa phản ánh đầy đủ giai đoạn chuyển sang QDM</w:t>
            </w:r>
          </w:p>
        </w:tc>
      </w:tr>
      <w:tr w:rsidR="00764EB5" w:rsidRPr="003D6B28" w:rsidTr="003D6B28">
        <w:tc>
          <w:tcPr>
            <w:tcW w:w="1464"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Đoàn Thị Thúy Hải và CS (2021)</w:t>
            </w:r>
          </w:p>
        </w:tc>
        <w:tc>
          <w:tcPr>
            <w:tcW w:w="120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Các yếu tố ảnh hưởng đến quyết định mua căn hộ Monarchy</w:t>
            </w:r>
          </w:p>
        </w:tc>
        <w:tc>
          <w:tcPr>
            <w:tcW w:w="1099"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Người mua căn hộ</w:t>
            </w:r>
          </w:p>
        </w:tc>
        <w:tc>
          <w:tcPr>
            <w:tcW w:w="1240"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Đà Nẵng</w:t>
            </w:r>
          </w:p>
        </w:tc>
        <w:tc>
          <w:tcPr>
            <w:tcW w:w="162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Nghiên cứu định lượng</w:t>
            </w:r>
          </w:p>
        </w:tc>
        <w:tc>
          <w:tcPr>
            <w:tcW w:w="173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Bằng chứng về các yếu tố liên quan đến quyết định mua căn hộ tại dự án nghiên cứu</w:t>
            </w:r>
          </w:p>
        </w:tc>
        <w:tc>
          <w:tcPr>
            <w:tcW w:w="152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Phạm vi một dự án nên khả năng khái quát hóa còn hạn chế</w:t>
            </w:r>
          </w:p>
        </w:tc>
      </w:tr>
      <w:tr w:rsidR="00764EB5" w:rsidRPr="003D6B28" w:rsidTr="003D6B28">
        <w:tc>
          <w:tcPr>
            <w:tcW w:w="1464"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Trần Xuân Lượng (2021)</w:t>
            </w:r>
          </w:p>
        </w:tc>
        <w:tc>
          <w:tcPr>
            <w:tcW w:w="120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Ý định của người mua nhà ở khu vực đô thị Việt Nam</w:t>
            </w:r>
          </w:p>
        </w:tc>
        <w:tc>
          <w:tcPr>
            <w:tcW w:w="1099"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Người mua nhà ở đô thị</w:t>
            </w:r>
          </w:p>
        </w:tc>
        <w:tc>
          <w:tcPr>
            <w:tcW w:w="1240"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Việt Nam</w:t>
            </w:r>
          </w:p>
        </w:tc>
        <w:tc>
          <w:tcPr>
            <w:tcW w:w="162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TPB mở rộng, nghiên cứu định lượng</w:t>
            </w:r>
          </w:p>
        </w:tc>
        <w:tc>
          <w:tcPr>
            <w:tcW w:w="173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Bổ sung các yếu tố vị trí và tính pháp lý khi giải thích ý định mua</w:t>
            </w:r>
          </w:p>
        </w:tc>
        <w:tc>
          <w:tcPr>
            <w:tcW w:w="152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Tập trung chủ yếu vào ý định mua</w:t>
            </w:r>
          </w:p>
        </w:tc>
      </w:tr>
      <w:tr w:rsidR="00764EB5" w:rsidRPr="003D6B28" w:rsidTr="003D6B28">
        <w:tc>
          <w:tcPr>
            <w:tcW w:w="1464"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Pham Dinh et al. (2022)</w:t>
            </w:r>
          </w:p>
        </w:tc>
        <w:tc>
          <w:tcPr>
            <w:tcW w:w="120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Dự đoán ý định mua căn hộ bằng TPB mở rộng</w:t>
            </w:r>
          </w:p>
        </w:tc>
        <w:tc>
          <w:tcPr>
            <w:tcW w:w="1099"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Người tiêu dùng căn hộ</w:t>
            </w:r>
          </w:p>
        </w:tc>
        <w:tc>
          <w:tcPr>
            <w:tcW w:w="1240"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Việt Nam</w:t>
            </w:r>
          </w:p>
        </w:tc>
        <w:tc>
          <w:tcPr>
            <w:tcW w:w="1623"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Nghiên cứu định lượng, TPB mở rộng</w:t>
            </w:r>
          </w:p>
        </w:tc>
        <w:tc>
          <w:tcPr>
            <w:tcW w:w="173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Khẳng định giá trị của các cấu phần TPB và biến mở rộng trong giải thích ý định mua căn hộ</w:t>
            </w:r>
          </w:p>
        </w:tc>
        <w:tc>
          <w:tcPr>
            <w:tcW w:w="1525" w:type="dxa"/>
            <w:tcBorders>
              <w:top w:val="single" w:sz="4" w:space="0" w:color="000000"/>
              <w:left w:val="single" w:sz="4" w:space="0" w:color="000000"/>
              <w:bottom w:val="single" w:sz="4" w:space="0" w:color="000000"/>
              <w:right w:val="single" w:sz="4" w:space="0" w:color="000000"/>
            </w:tcBorders>
          </w:tcPr>
          <w:p w:rsidR="00764EB5" w:rsidRPr="003D6B28" w:rsidRDefault="00DF13CC" w:rsidP="003D6B28">
            <w:pPr>
              <w:spacing w:line="336" w:lineRule="auto"/>
              <w:ind w:left="-57" w:right="-57" w:firstLine="0"/>
              <w:jc w:val="center"/>
              <w:rPr>
                <w:color w:val="auto"/>
                <w:spacing w:val="-4"/>
              </w:rPr>
            </w:pPr>
            <w:r w:rsidRPr="003D6B28">
              <w:rPr>
                <w:color w:val="auto"/>
                <w:spacing w:val="-4"/>
              </w:rPr>
              <w:t>Không đo lường hành vi giao dịch đã xảy ra</w:t>
            </w:r>
          </w:p>
        </w:tc>
      </w:tr>
      <w:tr w:rsidR="00764EB5" w:rsidTr="003D6B28">
        <w:tc>
          <w:tcPr>
            <w:tcW w:w="1464" w:type="dxa"/>
            <w:tcBorders>
              <w:top w:val="single" w:sz="4" w:space="0" w:color="000000"/>
              <w:left w:val="single" w:sz="4" w:space="0" w:color="000000"/>
              <w:bottom w:val="single" w:sz="4" w:space="0" w:color="000000"/>
              <w:right w:val="single" w:sz="4" w:space="0" w:color="000000"/>
            </w:tcBorders>
          </w:tcPr>
          <w:p w:rsidR="00764EB5" w:rsidRDefault="00DF13CC" w:rsidP="003D6B28">
            <w:pPr>
              <w:ind w:left="-57" w:right="-57" w:firstLine="0"/>
              <w:jc w:val="center"/>
              <w:rPr>
                <w:color w:val="auto"/>
              </w:rPr>
            </w:pPr>
            <w:r>
              <w:rPr>
                <w:color w:val="auto"/>
              </w:rPr>
              <w:lastRenderedPageBreak/>
              <w:t>Phạm Đình Hân (2023)</w:t>
            </w:r>
          </w:p>
        </w:tc>
        <w:tc>
          <w:tcPr>
            <w:tcW w:w="1203" w:type="dxa"/>
            <w:tcBorders>
              <w:top w:val="single" w:sz="4" w:space="0" w:color="000000"/>
              <w:left w:val="single" w:sz="4" w:space="0" w:color="000000"/>
              <w:bottom w:val="single" w:sz="4" w:space="0" w:color="000000"/>
              <w:right w:val="single" w:sz="4" w:space="0" w:color="000000"/>
            </w:tcBorders>
          </w:tcPr>
          <w:p w:rsidR="00764EB5" w:rsidRDefault="00DF13CC" w:rsidP="003D6B28">
            <w:pPr>
              <w:ind w:left="-57" w:right="-57" w:firstLine="0"/>
              <w:jc w:val="center"/>
              <w:rPr>
                <w:color w:val="auto"/>
              </w:rPr>
            </w:pPr>
            <w:r>
              <w:rPr>
                <w:color w:val="auto"/>
              </w:rPr>
              <w:t>Các nhân tố ảnh hưởng đến ý định mua căn hộ chung cư thương mại</w:t>
            </w:r>
          </w:p>
        </w:tc>
        <w:tc>
          <w:tcPr>
            <w:tcW w:w="1099" w:type="dxa"/>
            <w:tcBorders>
              <w:top w:val="single" w:sz="4" w:space="0" w:color="000000"/>
              <w:left w:val="single" w:sz="4" w:space="0" w:color="000000"/>
              <w:bottom w:val="single" w:sz="4" w:space="0" w:color="000000"/>
              <w:right w:val="single" w:sz="4" w:space="0" w:color="000000"/>
            </w:tcBorders>
          </w:tcPr>
          <w:p w:rsidR="00764EB5" w:rsidRDefault="00DF13CC" w:rsidP="003D6B28">
            <w:pPr>
              <w:ind w:left="-57" w:right="-57" w:firstLine="0"/>
              <w:jc w:val="center"/>
              <w:rPr>
                <w:color w:val="auto"/>
              </w:rPr>
            </w:pPr>
            <w:r>
              <w:rPr>
                <w:color w:val="auto"/>
              </w:rPr>
              <w:t>Người tiêu dùng</w:t>
            </w:r>
          </w:p>
        </w:tc>
        <w:tc>
          <w:tcPr>
            <w:tcW w:w="1240" w:type="dxa"/>
            <w:tcBorders>
              <w:top w:val="single" w:sz="4" w:space="0" w:color="000000"/>
              <w:left w:val="single" w:sz="4" w:space="0" w:color="000000"/>
              <w:bottom w:val="single" w:sz="4" w:space="0" w:color="000000"/>
              <w:right w:val="single" w:sz="4" w:space="0" w:color="000000"/>
            </w:tcBorders>
          </w:tcPr>
          <w:p w:rsidR="00764EB5" w:rsidRDefault="00DF13CC" w:rsidP="003D6B28">
            <w:pPr>
              <w:ind w:left="-57" w:right="-57" w:firstLine="0"/>
              <w:jc w:val="center"/>
              <w:rPr>
                <w:color w:val="auto"/>
              </w:rPr>
            </w:pPr>
            <w:r>
              <w:rPr>
                <w:color w:val="auto"/>
              </w:rPr>
              <w:t>TP. Hồ Chí Minh</w:t>
            </w:r>
          </w:p>
        </w:tc>
        <w:tc>
          <w:tcPr>
            <w:tcW w:w="1623" w:type="dxa"/>
            <w:tcBorders>
              <w:top w:val="single" w:sz="4" w:space="0" w:color="000000"/>
              <w:left w:val="single" w:sz="4" w:space="0" w:color="000000"/>
              <w:bottom w:val="single" w:sz="4" w:space="0" w:color="000000"/>
              <w:right w:val="single" w:sz="4" w:space="0" w:color="000000"/>
            </w:tcBorders>
          </w:tcPr>
          <w:p w:rsidR="00764EB5" w:rsidRDefault="00DF13CC" w:rsidP="003D6B28">
            <w:pPr>
              <w:ind w:left="-57" w:right="-57" w:firstLine="0"/>
              <w:jc w:val="center"/>
              <w:rPr>
                <w:color w:val="auto"/>
              </w:rPr>
            </w:pPr>
            <w:r>
              <w:rPr>
                <w:color w:val="auto"/>
              </w:rPr>
              <w:t>Luận án tiến sĩ; nghiên cứu định lượng</w:t>
            </w:r>
          </w:p>
        </w:tc>
        <w:tc>
          <w:tcPr>
            <w:tcW w:w="1735" w:type="dxa"/>
            <w:tcBorders>
              <w:top w:val="single" w:sz="4" w:space="0" w:color="000000"/>
              <w:left w:val="single" w:sz="4" w:space="0" w:color="000000"/>
              <w:bottom w:val="single" w:sz="4" w:space="0" w:color="000000"/>
              <w:right w:val="single" w:sz="4" w:space="0" w:color="000000"/>
            </w:tcBorders>
          </w:tcPr>
          <w:p w:rsidR="00764EB5" w:rsidRDefault="00DF13CC" w:rsidP="003D6B28">
            <w:pPr>
              <w:ind w:left="-57" w:right="-57" w:firstLine="0"/>
              <w:jc w:val="center"/>
              <w:rPr>
                <w:color w:val="auto"/>
              </w:rPr>
            </w:pPr>
            <w:r>
              <w:rPr>
                <w:color w:val="auto"/>
              </w:rPr>
              <w:t>Phát triển và kiểm định mô hình giải thích ý định mua căn hộ thương mại</w:t>
            </w:r>
          </w:p>
        </w:tc>
        <w:tc>
          <w:tcPr>
            <w:tcW w:w="1525" w:type="dxa"/>
            <w:tcBorders>
              <w:top w:val="single" w:sz="4" w:space="0" w:color="000000"/>
              <w:left w:val="single" w:sz="4" w:space="0" w:color="000000"/>
              <w:bottom w:val="single" w:sz="4" w:space="0" w:color="000000"/>
              <w:right w:val="single" w:sz="4" w:space="0" w:color="000000"/>
            </w:tcBorders>
          </w:tcPr>
          <w:p w:rsidR="00764EB5" w:rsidRDefault="00DF13CC" w:rsidP="003D6B28">
            <w:pPr>
              <w:ind w:left="-57" w:right="-57" w:firstLine="0"/>
              <w:jc w:val="center"/>
              <w:rPr>
                <w:color w:val="auto"/>
              </w:rPr>
            </w:pPr>
            <w:r>
              <w:rPr>
                <w:color w:val="auto"/>
              </w:rPr>
              <w:t>Giới hạn bối cảnh thành phố  Hồ Chí Minh; trọng tâm là ý định</w:t>
            </w:r>
          </w:p>
        </w:tc>
      </w:tr>
    </w:tbl>
    <w:p w:rsidR="00764EB5" w:rsidRDefault="00DF13CC" w:rsidP="003D6B28">
      <w:pPr>
        <w:jc w:val="right"/>
        <w:rPr>
          <w:i/>
          <w:iCs/>
          <w:color w:val="auto"/>
        </w:rPr>
      </w:pPr>
      <w:r>
        <w:rPr>
          <w:i/>
          <w:iCs/>
          <w:color w:val="auto"/>
        </w:rPr>
        <w:t>(Nguồn: Tác giả tổng hợp từ các nghiên cứu trong nước)</w:t>
      </w:r>
    </w:p>
    <w:p w:rsidR="003D6B28" w:rsidRPr="003D6B28" w:rsidRDefault="003D6B28" w:rsidP="003D6B28">
      <w:pPr>
        <w:rPr>
          <w:color w:val="auto"/>
          <w:sz w:val="2"/>
        </w:rPr>
      </w:pPr>
    </w:p>
    <w:p w:rsidR="003D6B28" w:rsidRPr="003D6B28" w:rsidRDefault="003D6B28" w:rsidP="003D6B28">
      <w:pPr>
        <w:rPr>
          <w:color w:val="auto"/>
          <w:sz w:val="8"/>
        </w:rPr>
      </w:pPr>
    </w:p>
    <w:p w:rsidR="00764EB5" w:rsidRDefault="00DF13CC" w:rsidP="003D6B28">
      <w:pPr>
        <w:rPr>
          <w:color w:val="auto"/>
        </w:rPr>
      </w:pPr>
      <w:r>
        <w:rPr>
          <w:color w:val="auto"/>
        </w:rPr>
        <w:t>Từ tổng quan các nghiên cứu trong nước, có thể rút ra ba nhận định chính:</w:t>
      </w:r>
    </w:p>
    <w:p w:rsidR="00764EB5" w:rsidRDefault="00DF13CC" w:rsidP="003D6B28">
      <w:pPr>
        <w:rPr>
          <w:color w:val="auto"/>
        </w:rPr>
      </w:pPr>
      <w:r>
        <w:rPr>
          <w:b/>
          <w:bCs/>
          <w:i/>
          <w:iCs/>
          <w:color w:val="auto"/>
        </w:rPr>
        <w:t>Thứ nhất,</w:t>
      </w:r>
      <w:r>
        <w:rPr>
          <w:color w:val="auto"/>
        </w:rPr>
        <w:t xml:space="preserve"> về nội dung, các nghiên cứu đã xác định được nhiều nhóm yếu tố quan trọng như kinh tế, xã hội, pháp lý và văn hóa, tuy nhiên các yếu tố này thường được nghiên cứu riêng lẻ, thiếu một mô hình tích hợp toàn diện.</w:t>
      </w:r>
    </w:p>
    <w:p w:rsidR="00764EB5" w:rsidRDefault="00DF13CC" w:rsidP="003D6B28">
      <w:pPr>
        <w:rPr>
          <w:color w:val="auto"/>
        </w:rPr>
      </w:pPr>
      <w:r>
        <w:rPr>
          <w:b/>
          <w:bCs/>
          <w:i/>
          <w:iCs/>
          <w:color w:val="auto"/>
        </w:rPr>
        <w:t>Thứ hai</w:t>
      </w:r>
      <w:r>
        <w:rPr>
          <w:color w:val="auto"/>
        </w:rPr>
        <w:t>, về phương pháp, phần lớn các nghiên cứu sử dụng các phương pháp truyền thống như hồi quy tuyến tính hoặc SEM dựa trên hiệp phương sai (CB-SEM), trong khi các phương pháp hiện đại như PLS-SEM – phù hợp với mô hình phức tạp và dữ liệu không phân phối chuẩn – vẫn chưa được khai thác đầy đủ.</w:t>
      </w:r>
    </w:p>
    <w:p w:rsidR="00764EB5" w:rsidRDefault="00DF13CC" w:rsidP="003D6B28">
      <w:pPr>
        <w:rPr>
          <w:color w:val="auto"/>
        </w:rPr>
      </w:pPr>
      <w:r>
        <w:rPr>
          <w:b/>
          <w:bCs/>
          <w:i/>
          <w:iCs/>
          <w:color w:val="auto"/>
        </w:rPr>
        <w:t>Thứ ba,</w:t>
      </w:r>
      <w:r>
        <w:rPr>
          <w:color w:val="auto"/>
        </w:rPr>
        <w:t xml:space="preserve"> về phạm vi nghiên cứu, các công trình chủ yếu tập trung vào TP.HCM, Hà Nội hoặc một số địa phương riêng lẻ, chưa có nhiều nghiên cứu tiếp cận ở quy mô vùng, đặc biệt là khu vực Đông Nam Bộ – nơi có tốc độ đô thị hóa và phát triển thị trường căn hộ mạnh mẽ.</w:t>
      </w:r>
    </w:p>
    <w:p w:rsidR="00764EB5" w:rsidRDefault="00DF13CC" w:rsidP="003D6B28">
      <w:pPr>
        <w:rPr>
          <w:color w:val="auto"/>
        </w:rPr>
      </w:pPr>
      <w:r>
        <w:rPr>
          <w:b/>
          <w:bCs/>
          <w:i/>
          <w:iCs/>
          <w:color w:val="auto"/>
        </w:rPr>
        <w:t xml:space="preserve">Do đó, </w:t>
      </w:r>
      <w:r>
        <w:rPr>
          <w:color w:val="auto"/>
        </w:rPr>
        <w:t>luận án này hướng đến việc xây dựng một mô hình nghiên cứu tích hợp, kết hợp các yếu tố đặc thù (pháp lý, phong thủy, tài chính, uy tín chủ đầu tư) và áp dụng phương pháp phân tích hiện đại nhằm nâng cao khả năng giải thích hành vi khách hàng mua căn hộ chung cư trong bối cảnh khu vực Đông Nam Bộ.</w:t>
      </w:r>
    </w:p>
    <w:p w:rsidR="00764EB5" w:rsidRDefault="00DF13CC" w:rsidP="007B644D">
      <w:pPr>
        <w:pStyle w:val="Heading2"/>
      </w:pPr>
      <w:bookmarkStart w:id="132" w:name="_Toc241062421"/>
      <w:bookmarkStart w:id="133" w:name="_Toc241064337"/>
      <w:bookmarkStart w:id="134" w:name="_Toc241065270"/>
      <w:bookmarkStart w:id="135" w:name="_Toc241065481"/>
      <w:r>
        <w:t>1.2. Tổng quan các nghiên cứu liên quan trên thế giới</w:t>
      </w:r>
      <w:bookmarkEnd w:id="132"/>
      <w:bookmarkEnd w:id="133"/>
      <w:bookmarkEnd w:id="134"/>
      <w:bookmarkEnd w:id="135"/>
    </w:p>
    <w:p w:rsidR="00764EB5" w:rsidRDefault="00DF13CC" w:rsidP="003D6B28">
      <w:pPr>
        <w:rPr>
          <w:color w:val="auto"/>
        </w:rPr>
      </w:pPr>
      <w:r>
        <w:rPr>
          <w:color w:val="auto"/>
        </w:rPr>
        <w:t xml:space="preserve">Trên thế giới, nghiên cứu về hành vi khách hàng mua nhà ở nói chung và căn hộ chung cư nói riêng đã được triển khai khá đa dạng cả về hướng tiếp cận lý thuyết lẫn phương pháp nghiên cứu. Nhìn tổng thể, các công trình quốc tế tập trung vào bốn hướng chính: (i) xác định các yếu tố ảnh hưởng đến quyết định mua nhà/căn </w:t>
      </w:r>
      <w:r>
        <w:rPr>
          <w:color w:val="auto"/>
        </w:rPr>
        <w:lastRenderedPageBreak/>
        <w:t xml:space="preserve">hộ; (ii) vận dụng và mở rộng các mô hình hành vi như TPB; (iii) phân tích quá trình ra quyết định của hộ gia đình và người mua; và (iv) ứng dụng các phương pháp đa tiêu chí để hỗ trợ lựa chọn sản phẩm nhà ở. Đồng thời, tổng quan hệ thống gần đây </w:t>
      </w:r>
      <w:r w:rsidRPr="003D6B28">
        <w:rPr>
          <w:color w:val="auto"/>
          <w:spacing w:val="-2"/>
        </w:rPr>
        <w:t>cho thấy lĩnh vực này đã phát triển thành một nhánh nghiên cứu tương đối độc lập, với năm nhóm chủ đề nổi bật gồm hành vi khách hàng, thuộc tính nhà ở, các yếu tố ảnh hưởng đến quyết định mua, đầu tư và đặc điểm nhân khẩu học. Điều đó cho thấy quyết định mua nhà không còn được nhìn nhận như một hành vi kinh tế đơn thuần mà là một quá trình đa chiều, có sự kết hợp giữa lý tính, cảm xúc và bối cảnh xã hội.</w:t>
      </w:r>
    </w:p>
    <w:p w:rsidR="00764EB5" w:rsidRDefault="00DF13CC" w:rsidP="003D6B28">
      <w:pPr>
        <w:rPr>
          <w:color w:val="auto"/>
        </w:rPr>
      </w:pPr>
      <w:r>
        <w:rPr>
          <w:color w:val="auto"/>
        </w:rPr>
        <w:t>Một hướng nghiên cứu quan trọng là xây dựng mô hình giải thích ý định mua căn hộ dựa trên TPB và các biến mở rộng. Tiêu biểu, Islam et al. (2022) nghiên cứu ý định mua căn hộ tại Bangladesh bằng cách sử dụng TPB làm khung nền, sau đó bổ sung các biến đặc thù của thị trường mới nổi. Từ khảo sát 236 mẫu và phân tích EFA, nghiên cứu xác định ngoài ba thành phần cốt lõi của TPB còn có ba yếu tố bổ sung là chất lượng vật lý cảm nhận, khả năng tiếp cận nguồn tiền và chính sách hỗ trợ thuận lợi của Chính phủ. Kết quả này cho thấy đối với quyết định mua căn hộ trong bối cảnh đang phát triển, mô hình TPB nguyên gốc thường chưa đủ mạnh nếu không tích hợp thêm các yếu tố thể chế và tài chính. Về phương pháp, đây là dạng nghiên cứu định lượng theo hướng xây dựng mô hình hành vi, có ưu điểm là tạo ra cấu trúc giải thích khá rõ nhưng vẫn còn hạn chế ở chỗ mới dừng nhiều ở mức khám phá nhân tố hơn là kiểm định một mô hình cấu trúc hoàn chỉnh với các quan hệ trung gian và điều tiết.</w:t>
      </w:r>
    </w:p>
    <w:p w:rsidR="00764EB5" w:rsidRDefault="00DF13CC" w:rsidP="003D6B28">
      <w:pPr>
        <w:spacing w:line="353" w:lineRule="auto"/>
        <w:rPr>
          <w:color w:val="auto"/>
        </w:rPr>
      </w:pPr>
      <w:r>
        <w:rPr>
          <w:color w:val="auto"/>
        </w:rPr>
        <w:t xml:space="preserve">Bên cạnh đó, nhiều nghiên cứu quốc tế đi theo hướng xác định các yếu tố quyết định mua nhà/căn hộ trong từng bối cảnh đô thị cụ thể. Liu et al. (2018), </w:t>
      </w:r>
      <w:r w:rsidRPr="003D6B28">
        <w:rPr>
          <w:color w:val="auto"/>
          <w:spacing w:val="-2"/>
        </w:rPr>
        <w:t xml:space="preserve">nghiên cứu tại khu vực đô thị Trung Quốc, cho thấy quyết định mua nhà có liên hệ chặt với điều kiện kinh tế – xã hội của người mua; trong đó các yếu tố như thu nhập ổn định, nhu cầu giáo dục cho con, khả năng tín dụng, chuẩn bị sinh con và kết hôn là các động lực nổi bật. Trong khi đó, Sundrani (2018), nghiên cứu người mua các loại căn hộ khác nhau tại Ấn Độ, với khảo sát 284 người mua tại khu vực ven Pune, cho thấy giá là yếu tố quan trọng nhất đối với người mua căn hộ. Hai nghiên cứu này đều sử dụng khảo sát định lượng, song khác nhau ở cách tiếp cận: nghiên cứu của Liu </w:t>
      </w:r>
      <w:r w:rsidRPr="003D6B28">
        <w:rPr>
          <w:color w:val="auto"/>
          <w:spacing w:val="-2"/>
        </w:rPr>
        <w:lastRenderedPageBreak/>
        <w:t>thiên về nhận diện điều kiện kinh tế – xã hội, còn Sundrani thiên về phân tầng người mua theo loại căn hộ và so sánh mức độ ảnh hưởng giữa các nhóm sản phẩm. Điều đó cho thấy cùng một chủ đề mua nhà ở, trọng tâm giải thích có thể chuyển từ biến nhân khẩu – kinh tế sang biến thuộc tính sản phẩm và phân khúc thị trường.</w:t>
      </w:r>
    </w:p>
    <w:p w:rsidR="00764EB5" w:rsidRDefault="00DF13CC" w:rsidP="003D6B28">
      <w:pPr>
        <w:spacing w:line="353" w:lineRule="auto"/>
        <w:rPr>
          <w:color w:val="auto"/>
        </w:rPr>
      </w:pPr>
      <w:r>
        <w:rPr>
          <w:color w:val="auto"/>
        </w:rPr>
        <w:t>Một nhóm nghiên cứu khác nhấn mạnh vai trò của yếu tố tâm lý và giá trị cảm nhận. Tan và Goh (2018), nghiên cứu ý định mua nhà ở xanh tại Malaysia, chỉ ra rằng các yếu tố tâm lý như giá trị cảm nhận, thái độ và niềm tin xanh có ảnh hưởng đáng kể đến ý định mua bất động sản nhà ở xanh. Hướng tiếp cận này mở rộng phạm vi nghiên cứu quyết định mua nhà từ các yếu tố “cứng” như giá, vị trí và tài chính sang các yếu tố “mềm” như cảm nhận giá trị, niềm tin và định hướng bền vững. Điểm mạnh của nghiên cứu là làm rõ cách các biến tâm lý tác động đến ý định mua; tuy nhiên, vì bối cảnh là nhà ở xanh nên mức độ tương thích với phân khúc căn hộ thương mại đại trà cần được cân nhắc. Dù vậy, công trình này rất có ý nghĩa ở phương diện phương pháp luận vì cho thấy quyết định mua bất động sản không thể chỉ giải thích bằng biến kinh tế, mà cần tích hợp thêm hệ biến nhận thức – tâm lý trong mô hình nghiên cứu.</w:t>
      </w:r>
    </w:p>
    <w:p w:rsidR="00764EB5" w:rsidRDefault="00DF13CC" w:rsidP="003D6B28">
      <w:pPr>
        <w:spacing w:line="353" w:lineRule="auto"/>
        <w:rPr>
          <w:color w:val="auto"/>
        </w:rPr>
      </w:pPr>
      <w:r>
        <w:rPr>
          <w:color w:val="auto"/>
        </w:rPr>
        <w:t>Ở chiều sâu hơn về quá trình ra quyết định của hộ gia đình, Levy et al. (2008) cho rằng quyết định mua nhà là một quá trình mang tính gia đình và cảm xúc, không đơn giản là một lựa chọn cá nhân thuần lý. Nghiên cứu này làm nổi bật vai trò của cấu trúc gia đình, vai trò giới, đặc điểm sắc tộc và tình trạng kinh tế – xã hội trong quá trình thảo luận, thương lượng và đi đến quyết định mua nhà. Khác với các nghiên cứu định lượng chủ đạo, công trình này thiên về khai thác chiều sâu của hành vi ra quyết định, qua đó chỉ ra rằng các mối quan hệ trong gia đình và trạng thái cảm xúc có thể tác động rất mạnh đến lựa chọn nhà ở. So với các nghiên cứu dùng hồi quy hoặc SEM, phương pháp định tính của Levy và cộng sự có ưu điểm ở khả năng phát hiện cơ chế hành vi ngầm và logic tương tác giữa các thành viên hộ gia đình, nhưng hạn chế ở khả năng khái quát hóa trên diện rộng. Đây là một gợi ý quan trọng cho các nghiên cứu về căn hộ chung cư tại các xã hội châu Á, nơi quyết định mua nhà thường gắn chặt với hộ gia đình hơn là với cá nhân riêng lẻ.</w:t>
      </w:r>
    </w:p>
    <w:p w:rsidR="00764EB5" w:rsidRDefault="00DF13CC" w:rsidP="003D6B28">
      <w:pPr>
        <w:rPr>
          <w:color w:val="auto"/>
          <w:spacing w:val="-2"/>
        </w:rPr>
      </w:pPr>
      <w:r>
        <w:rPr>
          <w:color w:val="auto"/>
        </w:rPr>
        <w:t>N</w:t>
      </w:r>
      <w:r>
        <w:rPr>
          <w:color w:val="auto"/>
          <w:spacing w:val="-2"/>
        </w:rPr>
        <w:t xml:space="preserve">goài các mô hình hành vi và khảo sát định lượng, một số nghiên cứu quốc tế đã ứng dụng các phương pháp ra quyết định đa tiêu chí trong lựa chọn căn hộ. </w:t>
      </w:r>
      <w:r>
        <w:rPr>
          <w:color w:val="auto"/>
          <w:spacing w:val="-2"/>
        </w:rPr>
        <w:lastRenderedPageBreak/>
        <w:t xml:space="preserve">Obeidat et al. (2018) triển khai phương pháp AHP để hỗ trợ lựa chọn căn hộ tại </w:t>
      </w:r>
      <w:r w:rsidRPr="003D6B28">
        <w:rPr>
          <w:color w:val="auto"/>
          <w:spacing w:val="-4"/>
        </w:rPr>
        <w:t>Jordan, xem quyết định mua căn hộ là một bài toán đa tiêu chí có cấu trúc thứ bậc. Cách tiếp cận này khác biệt rõ với hồi quy hoặc SEM: thay vì kiểm định tác động của các biến lên ý định mua, AHP hướng đến việc xác định và xếp hạng tầm quan trọng tương đối của các tiêu chí lựa chọn nhằm hỗ trợ ra quyết định thực hành. Ưu điểm của phương pháp này là giúp lượng hóa ưu tiên giữa các tiêu chí khi khách hàng phải đánh đổi giữa nhiều thuộc tính căn hộ; tuy nhiên, hạn chế là ít giải thích được cơ chế tâm lý – xã hội đứng sau quyết định và thường phụ thuộc vào cấu trúc tiêu chí do nhà nghiên cứu xây dựng. Vì vậy, AHP phù hợp hơn với mục tiêu hỗ trợ lựa chọn sản phẩm, trong khi SEM hoặc TPB mở rộng phù hợp hơn với mục tiêu giải thích hành vi.</w:t>
      </w:r>
    </w:p>
    <w:p w:rsidR="00764EB5" w:rsidRDefault="00DF13CC" w:rsidP="003D6B28">
      <w:pPr>
        <w:rPr>
          <w:color w:val="auto"/>
          <w:spacing w:val="-2"/>
        </w:rPr>
      </w:pPr>
      <w:r>
        <w:rPr>
          <w:color w:val="auto"/>
          <w:spacing w:val="-2"/>
        </w:rPr>
        <w:t>Một hướng khác đáng chú ý là nghiên cứu sự khác biệt giữa góc nhìn thị trường và góc nhìn khách hàng. Rahadi et al. (2015), nghiên cứu tại Jakarta Metropolitan Region, cho thấy tồn tại độ lệch giữa đánh giá của nhà thực hành bất động sản và sở thích thực của khách hàng đối với giá nhà và các tiêu chí liên quan. Hướng nghiên cứu này có giá trị thực tiễn lớn vì nhấn mạnh rằng những gì nhà phát triển bất động sản cho là quan trọng chưa chắc trùng khớp với điều khách hàng thực sự ưu tiên. Về phương pháp, đây là cách tiếp cận so sánh nhóm, qua đó mở rộng nghiên cứu hành vi mua từ phía cầu sang góc nhìn của cả phía cung. Tuy nhiên, hạn chế là đối tượng nghiên cứu không tập trung riêng vào người mua căn hộ để ở, nên chưa phản ánh đầy đủ các yếu tố hành vi vi mô trong quyết định mua nhà ở đô thị.</w:t>
      </w:r>
    </w:p>
    <w:p w:rsidR="00764EB5" w:rsidRDefault="00DF13CC" w:rsidP="003D6B28">
      <w:pPr>
        <w:spacing w:line="353" w:lineRule="auto"/>
        <w:rPr>
          <w:color w:val="auto"/>
        </w:rPr>
      </w:pPr>
      <w:r>
        <w:rPr>
          <w:color w:val="auto"/>
        </w:rPr>
        <w:t xml:space="preserve">Mở rộng các hướng tiếp cận nêu trên, nhóm nghiên cứu về thuộc tính, sở thích và lựa chọn nhà ở cho thấy quyết định mua là kết quả của nhiều nhóm tiêu chí đồng thời. Các công trình tiêu biểu đề cập hành vi người tham gia thị trường và định giá (Adair et al., 1996), giá trị và sở thích đối với thuộc tính nhà ở (Coolen and Hoekstra, 2001), ứng dụng hành vi người tiêu dùng trong bất động sản (Gibler &amp; Nelson, 2003), sức hấp dẫn của vị trí (Kauko, 2006), chất lượng thiết kế dưới góc nhìn người mua và nhà phát triển (El-Nachar, 2011), ra quyết định trong gia đình (Levy et al., 2008), sở thích nhà ở của nhóm thu nhập thấp (Opoku and Abdul-Muhmin, 2010), phương pháp đo lường sở thích và lựa chọn nhà ở (Jansen et al., 2011) và nhu cầu của người mua nhà lần đầu (Tan, 2012). Các nghiên cứu tại </w:t>
      </w:r>
      <w:r>
        <w:rPr>
          <w:color w:val="auto"/>
        </w:rPr>
        <w:lastRenderedPageBreak/>
        <w:t>Amman, Dhaka, Selangor, Noida, Bangkok và Greater Kuala Lumpur tiếp tục cho thấy vai trò của tài chính, vị trí, thiết kế, tiện ích và ảnh hưởng xã hội (Haddad et al., 2011; Khaled et al., 2012; Kamal and Pramanik, 2015a, 2015b; Renganathan et al., 2015; Maoludyo and Aprianingsih, 2015; Rachmawati et al., 2019; Singh et al., 2018; Wonggotwarin and Kim, 2017; Yoke et al., 2018).</w:t>
      </w:r>
    </w:p>
    <w:p w:rsidR="00764EB5" w:rsidRDefault="00DF13CC" w:rsidP="003D6B28">
      <w:pPr>
        <w:spacing w:line="353" w:lineRule="auto"/>
        <w:rPr>
          <w:color w:val="auto"/>
        </w:rPr>
      </w:pPr>
      <w:r>
        <w:rPr>
          <w:color w:val="auto"/>
        </w:rPr>
        <w:t>Theo hướng TPB mở rộng, vị trí, thuộc tính căn hộ, khả năng tài chính, chất lượng dịch vụ, rủi ro và ảnh hưởng xã hội thường được bổ sung để nâng cao năng lực giải thích ý định mua bất động sản (Al-Nahdi, 2015; Al-Nahdi et al., 2015a, 2015b; Chia et al., 2016; Wibawa and Hartoyo, 2017; Syukor et al., 2021; Le-Hoang et al., 2020; Khoo et al., 2020; Sangkakoon et al., 2014). Với nhà ở xanh và bền vững, các nghiên cứu của Numraktrakul et al. (2012), Judge et al. (2019), Zhang et al. (2018) cũng cho thấy khả năng vận dụng TPB và các biến mở rộng. Islam et al. (2022) và luận án của Islam (2024) bổ sung chất lượng vật lý cảm nhận và khả năng tiếp cận tiền; luận án của Sbakhi (2019) kiểm định thái độ, ảnh hưởng gia đình-xã hội, nhận thức kiểm soát hành vi và chất lượng dịch vụ nhà ở. Những kết quả này củng cố lựa chọn TPB làm khung nền, đồng thời cho thấy việc đưa biến mới vào mô hình phải đi kèm đặc tả khái niệm và thang đo nhất quán.</w:t>
      </w:r>
    </w:p>
    <w:p w:rsidR="00764EB5" w:rsidRDefault="00DF13CC" w:rsidP="003D6B28">
      <w:pPr>
        <w:spacing w:line="353" w:lineRule="auto"/>
        <w:rPr>
          <w:color w:val="auto"/>
        </w:rPr>
      </w:pPr>
      <w:r>
        <w:rPr>
          <w:color w:val="auto"/>
        </w:rPr>
        <w:t>Một nhánh nghiên cứu khác giải thích quyết định mua thông qua giá trị và rủi ro cảm nhận. Nền tảng lý thuyết bao gồm cách tiếp cận giá trị như sự đánh đổi lợi ích–chi phí (Zeithaml, 1988), lý thuyết giá trị tiêu dùng (Sheth et al., 1991), giá trị khách hàng (Woodruff, 1997), giá trị cảm nhận đa chiều (Sweeney and Soutar, 2001), tín hiệu thị trường (Spence, 1973) và đánh giá thông tin về giá/thương hiệu (Dodds et al., 1991). Các nghiên cứu về rủi ro cảm nhận của Bauer (1960), Dowling and Staelin (1994), Conchar et al. (2004) và Koklič (2011) cho thấy người tiêu dùng xử lý đồng thời bất định, lợi ích kỳ vọng và thông tin trước khi ra quyết định. Đây là cơ sở để luận án diễn giải pháp lý, vị trí, uy tín chủ đầu tư và phong thủy ở cấp độ nội hàm Giá trị cảm nhận/Thái độ, không suy rộng thành các biến độc lập khi chưa kiểm định riêng.</w:t>
      </w:r>
    </w:p>
    <w:p w:rsidR="00764EB5" w:rsidRDefault="00DF13CC" w:rsidP="003D6B28">
      <w:pPr>
        <w:spacing w:line="353" w:lineRule="auto"/>
        <w:rPr>
          <w:color w:val="auto"/>
        </w:rPr>
      </w:pPr>
      <w:r>
        <w:rPr>
          <w:color w:val="auto"/>
        </w:rPr>
        <w:t xml:space="preserve">Trong bối cảnh Việt Nam, Seo and Kwon (2017) liên hệ di cư với lựa chọn nhà ở tại thành phố Hồ Chí Minh; Seo et al. (2018) phân tích các nhân tố xác định giá căn hộ có khả năng chi trả. Ở cấp chính sách, UN-Habitat (2014) và World </w:t>
      </w:r>
      <w:r>
        <w:rPr>
          <w:color w:val="auto"/>
        </w:rPr>
        <w:lastRenderedPageBreak/>
        <w:t>Bank (2015) nhấn mạnh khả năng tiếp cận nhà ở phù hợp trong quá trình đô thị hóa. Các dữ liệu bối cảnh gần đây của luận án được đối chiếu với Tổng cục Thống kê (2025), Bộ Xây dựng (2025), tài liệu quy hoạch của Bộ Kế hoạch và Đầu tư (2024), Quy hoạch vùng Đông Nam Bộ theo Quyết định 370/QĐ-TTg [22] và báo cáo thị trường TP.HCM của CBRE Việt Nam (2026b).</w:t>
      </w:r>
    </w:p>
    <w:p w:rsidR="00764EB5" w:rsidRDefault="00DF13CC" w:rsidP="003D6B28">
      <w:pPr>
        <w:rPr>
          <w:color w:val="auto"/>
        </w:rPr>
      </w:pPr>
      <w:r>
        <w:rPr>
          <w:color w:val="auto"/>
        </w:rPr>
        <w:t>Từ các công trình trên có thể nhận thấy rằng, về nội dung, các nghiên cứu thế giới đã chuyển dần từ cách tiếp cận thuần thuộc tính sản phẩm sang mô hình tích hợp nhiều nhóm biến: kinh tế, tâm lý, xã hội, thể chế và môi trường. Về phương pháp, nghiên cứu quốc tế cũng rất đa dạng: khảo sát định lượng với hồi quy, EFA, SEM/TPB mở rộng; nghiên cứu định tính để phân tích quá trình ra quyết định của hộ gia đình; phương pháp đa tiêu chí như AHP để hỗ trợ lựa chọn căn hộ; và tổng quan hệ thống để hệ thống hóa tri thức của cả lĩnh vực. So với bức tranh này, các nghiên cứu ở Việt Nam vẫn còn thiên về hồi quy tuyến tính hoặc mô hình đơn giản, ít ứng dụng các cách tiếp cận tích hợp mạnh về lý thuyết và phương pháp. Đây chính là cơ sở quan trọng để luận án kế thừa có chọn lọc kinh nghiệm quốc tế, đồng thời điều chỉnh theo bối cảnh Việt Nam và vùng Đông Nam Bộ.</w:t>
      </w:r>
    </w:p>
    <w:p w:rsidR="00764EB5" w:rsidRDefault="00DF13CC" w:rsidP="00021C6B">
      <w:pPr>
        <w:pStyle w:val="DMB"/>
        <w:outlineLvl w:val="0"/>
      </w:pPr>
      <w:bookmarkStart w:id="136" w:name="__RefHeading___Toc7833_1147916741"/>
      <w:bookmarkStart w:id="137" w:name="_Toc226534653"/>
      <w:bookmarkStart w:id="138" w:name="_Toc238482012"/>
      <w:bookmarkStart w:id="139" w:name="_Toc241064338"/>
      <w:bookmarkStart w:id="140" w:name="_Toc241065482"/>
      <w:bookmarkEnd w:id="136"/>
      <w:r>
        <w:t>Bảng 1.</w:t>
      </w:r>
      <w:r w:rsidR="002E378C">
        <w:fldChar w:fldCharType="begin"/>
      </w:r>
      <w:r w:rsidR="002E378C">
        <w:instrText xml:space="preserve"> SEQ Bảng_1. \* ARABIC </w:instrText>
      </w:r>
      <w:r w:rsidR="002E378C">
        <w:fldChar w:fldCharType="separate"/>
      </w:r>
      <w:r w:rsidR="00783A1B">
        <w:rPr>
          <w:noProof/>
        </w:rPr>
        <w:t>2</w:t>
      </w:r>
      <w:r w:rsidR="002E378C">
        <w:rPr>
          <w:noProof/>
        </w:rPr>
        <w:fldChar w:fldCharType="end"/>
      </w:r>
      <w:r>
        <w:t>. So sánh các nghiên cứu liên quan trên thế giới</w:t>
      </w:r>
      <w:bookmarkEnd w:id="137"/>
      <w:bookmarkEnd w:id="138"/>
      <w:bookmarkEnd w:id="139"/>
      <w:bookmarkEnd w:id="140"/>
    </w:p>
    <w:tbl>
      <w:tblPr>
        <w:tblW w:w="9627" w:type="dxa"/>
        <w:tblInd w:w="-289" w:type="dxa"/>
        <w:tblLayout w:type="fixed"/>
        <w:tblLook w:val="04A0" w:firstRow="1" w:lastRow="0" w:firstColumn="1" w:lastColumn="0" w:noHBand="0" w:noVBand="1"/>
      </w:tblPr>
      <w:tblGrid>
        <w:gridCol w:w="1242"/>
        <w:gridCol w:w="1277"/>
        <w:gridCol w:w="1134"/>
        <w:gridCol w:w="1446"/>
        <w:gridCol w:w="1276"/>
        <w:gridCol w:w="1677"/>
        <w:gridCol w:w="1575"/>
      </w:tblGrid>
      <w:tr w:rsidR="00764EB5" w:rsidTr="003D6B28">
        <w:tc>
          <w:tcPr>
            <w:tcW w:w="1242"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spacing w:line="348" w:lineRule="auto"/>
              <w:ind w:left="-57" w:right="-57" w:firstLine="0"/>
              <w:jc w:val="center"/>
              <w:rPr>
                <w:b/>
                <w:bCs/>
                <w:color w:val="auto"/>
              </w:rPr>
            </w:pPr>
            <w:r>
              <w:rPr>
                <w:b/>
                <w:bCs/>
                <w:color w:val="auto"/>
              </w:rPr>
              <w:t>Tác giả (năm)</w:t>
            </w:r>
          </w:p>
        </w:tc>
        <w:tc>
          <w:tcPr>
            <w:tcW w:w="1277"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spacing w:line="348" w:lineRule="auto"/>
              <w:ind w:left="-57" w:right="-57" w:firstLine="0"/>
              <w:jc w:val="center"/>
              <w:rPr>
                <w:b/>
                <w:bCs/>
                <w:color w:val="auto"/>
              </w:rPr>
            </w:pPr>
            <w:r>
              <w:rPr>
                <w:b/>
                <w:bCs/>
                <w:color w:val="auto"/>
              </w:rPr>
              <w:t>Chủ đề nghiên cứu</w:t>
            </w:r>
          </w:p>
        </w:tc>
        <w:tc>
          <w:tcPr>
            <w:tcW w:w="1134"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spacing w:line="348" w:lineRule="auto"/>
              <w:ind w:left="-57" w:right="-57" w:firstLine="0"/>
              <w:jc w:val="center"/>
              <w:rPr>
                <w:b/>
                <w:bCs/>
                <w:color w:val="auto"/>
              </w:rPr>
            </w:pPr>
            <w:r>
              <w:rPr>
                <w:b/>
                <w:bCs/>
                <w:color w:val="auto"/>
              </w:rPr>
              <w:t>Đối tượng nghiên cứu</w:t>
            </w:r>
          </w:p>
        </w:tc>
        <w:tc>
          <w:tcPr>
            <w:tcW w:w="1446"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spacing w:line="348" w:lineRule="auto"/>
              <w:ind w:left="-57" w:right="-57" w:firstLine="0"/>
              <w:jc w:val="center"/>
              <w:rPr>
                <w:b/>
                <w:bCs/>
                <w:color w:val="auto"/>
              </w:rPr>
            </w:pPr>
            <w:r>
              <w:rPr>
                <w:b/>
                <w:bCs/>
                <w:color w:val="auto"/>
              </w:rPr>
              <w:t>Phạm vi nghiên cứu</w:t>
            </w:r>
          </w:p>
        </w:tc>
        <w:tc>
          <w:tcPr>
            <w:tcW w:w="1276"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spacing w:line="348" w:lineRule="auto"/>
              <w:ind w:left="-57" w:right="-57" w:firstLine="0"/>
              <w:jc w:val="center"/>
              <w:rPr>
                <w:b/>
                <w:bCs/>
                <w:color w:val="auto"/>
              </w:rPr>
            </w:pPr>
            <w:r>
              <w:rPr>
                <w:b/>
                <w:bCs/>
                <w:color w:val="auto"/>
              </w:rPr>
              <w:t>Phương pháp nghiên cứu</w:t>
            </w:r>
          </w:p>
        </w:tc>
        <w:tc>
          <w:tcPr>
            <w:tcW w:w="1677"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spacing w:line="348" w:lineRule="auto"/>
              <w:ind w:left="-57" w:right="-57" w:firstLine="0"/>
              <w:jc w:val="center"/>
              <w:rPr>
                <w:b/>
                <w:bCs/>
                <w:color w:val="auto"/>
              </w:rPr>
            </w:pPr>
            <w:r>
              <w:rPr>
                <w:b/>
                <w:bCs/>
                <w:color w:val="auto"/>
              </w:rPr>
              <w:t>Kết quả nghiên cứu chính</w:t>
            </w:r>
          </w:p>
        </w:tc>
        <w:tc>
          <w:tcPr>
            <w:tcW w:w="1575"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spacing w:line="348" w:lineRule="auto"/>
              <w:ind w:left="-57" w:right="-57" w:firstLine="0"/>
              <w:jc w:val="center"/>
              <w:rPr>
                <w:b/>
                <w:bCs/>
                <w:color w:val="auto"/>
              </w:rPr>
            </w:pPr>
            <w:r>
              <w:rPr>
                <w:b/>
                <w:bCs/>
                <w:color w:val="auto"/>
              </w:rPr>
              <w:t>Hạn chế nghiên cứu</w:t>
            </w:r>
          </w:p>
        </w:tc>
      </w:tr>
      <w:tr w:rsidR="00764EB5" w:rsidTr="003D6B28">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Levy, Murphy and Lee (2008)</w:t>
            </w:r>
          </w:p>
        </w:tc>
        <w:tc>
          <w:tcPr>
            <w:tcW w:w="12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Quá trình ra quyết định mua nhà của hộ gia đình</w:t>
            </w:r>
          </w:p>
        </w:tc>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Hộ gia đình mua nhà</w:t>
            </w:r>
          </w:p>
        </w:tc>
        <w:tc>
          <w:tcPr>
            <w:tcW w:w="144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New Zealand</w:t>
            </w:r>
          </w:p>
        </w:tc>
        <w:tc>
          <w:tcPr>
            <w:tcW w:w="127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Định tính, phân tích quá trình ra quyết định</w:t>
            </w:r>
          </w:p>
        </w:tc>
        <w:tc>
          <w:tcPr>
            <w:tcW w:w="16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Quyết định mua nhà chịu ảnh hưởng mạnh của cảm xúc, cấu trúc gia đình, vai trò giới và tương tác giữa các thành viên</w:t>
            </w:r>
          </w:p>
        </w:tc>
        <w:tc>
          <w:tcPr>
            <w:tcW w:w="1575"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Khó khái quát hóa rộng; không lượng hóa mức độ tác động của từng yếu tố</w:t>
            </w:r>
          </w:p>
        </w:tc>
      </w:tr>
      <w:tr w:rsidR="00764EB5" w:rsidTr="003D6B28">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lastRenderedPageBreak/>
              <w:t>Rahadi et al. (2015)</w:t>
            </w:r>
          </w:p>
        </w:tc>
        <w:tc>
          <w:tcPr>
            <w:tcW w:w="12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So sánh sở thích của nhà thực hành và khách hàng về giá nhà</w:t>
            </w:r>
          </w:p>
        </w:tc>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Nhà thực hành BĐS và khách hàng</w:t>
            </w:r>
          </w:p>
        </w:tc>
        <w:tc>
          <w:tcPr>
            <w:tcW w:w="144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Jakarta Metropolitan Region, Indonesia</w:t>
            </w:r>
          </w:p>
        </w:tc>
        <w:tc>
          <w:tcPr>
            <w:tcW w:w="127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So sánh nhóm, định lượng</w:t>
            </w:r>
          </w:p>
        </w:tc>
        <w:tc>
          <w:tcPr>
            <w:tcW w:w="16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Khác biệt giữa góc nhìn của thị trường và sở thích thực của khách hàng trong đánh giá giá nhà và tiêu chí liên quan</w:t>
            </w:r>
          </w:p>
        </w:tc>
        <w:tc>
          <w:tcPr>
            <w:tcW w:w="1575"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Không tập trung riêng vào người mua căn hộ để ở; chưa đi sâu cơ chế hành vi vi mô</w:t>
            </w:r>
          </w:p>
        </w:tc>
      </w:tr>
      <w:tr w:rsidR="00764EB5" w:rsidTr="003D6B28">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Liu et al. (2018)</w:t>
            </w:r>
          </w:p>
        </w:tc>
        <w:tc>
          <w:tcPr>
            <w:tcW w:w="12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Các yếu tố quyết định mua nhà</w:t>
            </w:r>
          </w:p>
        </w:tc>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Người mua nhà, nhóm dân cư có học vấn cao</w:t>
            </w:r>
          </w:p>
        </w:tc>
        <w:tc>
          <w:tcPr>
            <w:tcW w:w="144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Đô thị Trung Quốc</w:t>
            </w:r>
          </w:p>
        </w:tc>
        <w:tc>
          <w:tcPr>
            <w:tcW w:w="127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Khảo sát định lượng, phân tích thực nghiệm</w:t>
            </w:r>
          </w:p>
        </w:tc>
        <w:tc>
          <w:tcPr>
            <w:tcW w:w="16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Thu nhập ổn định, giáo dục cho con, tín dụng, sinh con và kết hôn là các động lực nổi bật</w:t>
            </w:r>
          </w:p>
        </w:tc>
        <w:tc>
          <w:tcPr>
            <w:tcW w:w="1575"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Thiên về điều kiện kinh tế – xã hội; ít xem xét các biến tâm lý và văn hóa</w:t>
            </w:r>
          </w:p>
        </w:tc>
      </w:tr>
      <w:tr w:rsidR="00764EB5" w:rsidTr="003D6B28">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Sundrani (2018)</w:t>
            </w:r>
          </w:p>
        </w:tc>
        <w:tc>
          <w:tcPr>
            <w:tcW w:w="12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Yếu tố ảnh hưởng đến quyết định mua các loại căn hộ khác nhau</w:t>
            </w:r>
          </w:p>
        </w:tc>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Người mua căn hộ 1BHK, 2BHK, 3BHK</w:t>
            </w:r>
          </w:p>
        </w:tc>
        <w:tc>
          <w:tcPr>
            <w:tcW w:w="144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Pune, Ấn Độ</w:t>
            </w:r>
          </w:p>
        </w:tc>
        <w:tc>
          <w:tcPr>
            <w:tcW w:w="127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Khảo sát định lượng, 284 mẫu, kiểm định giả thuyết</w:t>
            </w:r>
          </w:p>
        </w:tc>
        <w:tc>
          <w:tcPr>
            <w:tcW w:w="16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Giá quan trọng nhất với 1BHK; với 2BHK và 3BHK, thuộc tính sản phẩm và vị trí giữ vai trò lớn hơn</w:t>
            </w:r>
          </w:p>
        </w:tc>
        <w:tc>
          <w:tcPr>
            <w:tcW w:w="1575"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Phạm vi hẹp; chủ yếu xét quan hệ trực tiếp giữa các yếu tố và quyết định mua</w:t>
            </w:r>
          </w:p>
        </w:tc>
      </w:tr>
      <w:tr w:rsidR="00764EB5" w:rsidTr="003D6B28">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Tan and Goh (2018)</w:t>
            </w:r>
          </w:p>
        </w:tc>
        <w:tc>
          <w:tcPr>
            <w:tcW w:w="12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Yếu tố tâm lý ảnh hưởng đến ý định mua nhà ở xanh</w:t>
            </w:r>
          </w:p>
        </w:tc>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Khách hàng bất động sản nhà ở xanh</w:t>
            </w:r>
          </w:p>
        </w:tc>
        <w:tc>
          <w:tcPr>
            <w:tcW w:w="144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Malaysia</w:t>
            </w:r>
          </w:p>
        </w:tc>
        <w:tc>
          <w:tcPr>
            <w:tcW w:w="127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Định lượng, mô hình hành vi</w:t>
            </w:r>
          </w:p>
        </w:tc>
        <w:tc>
          <w:tcPr>
            <w:tcW w:w="16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Giá trị cảm nhận, thái độ và niềm tin xanh ảnh hưởng đáng kể đến ý định mua</w:t>
            </w:r>
          </w:p>
        </w:tc>
        <w:tc>
          <w:tcPr>
            <w:tcW w:w="1575"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Bối cảnh nhà ở xanh nên khả năng khái quát cho căn hộ thương mại đại trà còn hạn chế</w:t>
            </w:r>
          </w:p>
        </w:tc>
      </w:tr>
      <w:tr w:rsidR="00764EB5" w:rsidTr="003D6B28">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lastRenderedPageBreak/>
              <w:t>Obeidat et al. (2018)</w:t>
            </w:r>
          </w:p>
        </w:tc>
        <w:tc>
          <w:tcPr>
            <w:tcW w:w="12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Ứng dụng AHP trong lựa chọn căn hộ</w:t>
            </w:r>
          </w:p>
        </w:tc>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Người mua căn hộ</w:t>
            </w:r>
          </w:p>
        </w:tc>
        <w:tc>
          <w:tcPr>
            <w:tcW w:w="144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Jordan</w:t>
            </w:r>
          </w:p>
        </w:tc>
        <w:tc>
          <w:tcPr>
            <w:tcW w:w="127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AHP, ra quyết định đa tiêu chí</w:t>
            </w:r>
          </w:p>
        </w:tc>
        <w:tc>
          <w:tcPr>
            <w:tcW w:w="16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Chứng minh lựa chọn căn hộ có thể cấu trúc như một bài toán đa tiêu chí và xếp hạng mức ưu tiên giữa các tiêu chí</w:t>
            </w:r>
          </w:p>
          <w:p w:rsidR="003D6B28" w:rsidRDefault="003D6B28" w:rsidP="003D6B28">
            <w:pPr>
              <w:spacing w:line="348" w:lineRule="auto"/>
              <w:ind w:left="-57" w:right="-57" w:firstLine="0"/>
              <w:jc w:val="center"/>
              <w:rPr>
                <w:color w:val="auto"/>
              </w:rPr>
            </w:pPr>
          </w:p>
        </w:tc>
        <w:tc>
          <w:tcPr>
            <w:tcW w:w="1575"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Ít giải thích cơ chế tâm lý – xã hội; phụ thuộc vào bộ tiêu chí được thiết kế sẵn</w:t>
            </w:r>
          </w:p>
        </w:tc>
      </w:tr>
      <w:tr w:rsidR="00764EB5" w:rsidTr="003D6B28">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Islam et al. (2022)</w:t>
            </w:r>
          </w:p>
        </w:tc>
        <w:tc>
          <w:tcPr>
            <w:tcW w:w="12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Mô hình ý định mua căn hộ theo TPB mở rộng</w:t>
            </w:r>
          </w:p>
        </w:tc>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Người mua căn hộ</w:t>
            </w:r>
          </w:p>
        </w:tc>
        <w:tc>
          <w:tcPr>
            <w:tcW w:w="144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Bangladesh</w:t>
            </w:r>
          </w:p>
        </w:tc>
        <w:tc>
          <w:tcPr>
            <w:tcW w:w="127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Khảo sát định lượng, 236 mẫu, EFA, TPB mở rộng</w:t>
            </w:r>
          </w:p>
        </w:tc>
        <w:tc>
          <w:tcPr>
            <w:tcW w:w="16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Ngoài TPB còn có chất lượng vật lý cảm nhận, khả năng tiếp cận tiền và chính sách thuận lợi của Chính phủ</w:t>
            </w:r>
          </w:p>
        </w:tc>
        <w:tc>
          <w:tcPr>
            <w:tcW w:w="1575"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Chưa khai thác sâu vai trò trung gian/điều tiết; bối cảnh một quốc gia mới nổi cụ thể</w:t>
            </w:r>
          </w:p>
        </w:tc>
      </w:tr>
      <w:tr w:rsidR="00764EB5" w:rsidTr="003D6B28">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Islam (2024)</w:t>
            </w:r>
          </w:p>
        </w:tc>
        <w:tc>
          <w:tcPr>
            <w:tcW w:w="12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Mô hình ý định mua căn hộ dựa trên TPB mở rộng</w:t>
            </w:r>
          </w:p>
        </w:tc>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Người tiêu dùng căn hộ</w:t>
            </w:r>
          </w:p>
        </w:tc>
        <w:tc>
          <w:tcPr>
            <w:tcW w:w="144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Dhaka, Bangladesh</w:t>
            </w:r>
          </w:p>
        </w:tc>
        <w:tc>
          <w:tcPr>
            <w:tcW w:w="1276"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Luận án tiến sĩ; mô hình TPB mở rộng</w:t>
            </w:r>
          </w:p>
        </w:tc>
        <w:tc>
          <w:tcPr>
            <w:tcW w:w="1677"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Cung cấp bằng chứng chuyên sâu về việc mở rộng TPB để giải thích ý định mua căn hộ trong bối cảnh đô thị mới nổi</w:t>
            </w:r>
          </w:p>
        </w:tc>
        <w:tc>
          <w:tcPr>
            <w:tcW w:w="1575" w:type="dxa"/>
            <w:tcBorders>
              <w:top w:val="single" w:sz="4" w:space="0" w:color="000000"/>
              <w:left w:val="single" w:sz="4" w:space="0" w:color="000000"/>
              <w:bottom w:val="single" w:sz="4" w:space="0" w:color="000000"/>
              <w:right w:val="single" w:sz="4" w:space="0" w:color="000000"/>
            </w:tcBorders>
          </w:tcPr>
          <w:p w:rsidR="00764EB5" w:rsidRDefault="00DF13CC" w:rsidP="003D6B28">
            <w:pPr>
              <w:spacing w:line="348" w:lineRule="auto"/>
              <w:ind w:left="-57" w:right="-57" w:firstLine="0"/>
              <w:jc w:val="center"/>
              <w:rPr>
                <w:color w:val="auto"/>
              </w:rPr>
            </w:pPr>
            <w:r>
              <w:rPr>
                <w:color w:val="auto"/>
              </w:rPr>
              <w:t>Bối cảnh Bangladesh; kết quả cần được điều chỉnh khi vận dụng vào Việt Nam</w:t>
            </w:r>
          </w:p>
        </w:tc>
      </w:tr>
    </w:tbl>
    <w:p w:rsidR="00764EB5" w:rsidRDefault="00DF13CC" w:rsidP="003D6B28">
      <w:pPr>
        <w:jc w:val="right"/>
        <w:rPr>
          <w:i/>
          <w:iCs/>
          <w:color w:val="auto"/>
        </w:rPr>
      </w:pPr>
      <w:r>
        <w:rPr>
          <w:i/>
          <w:iCs/>
          <w:color w:val="auto"/>
        </w:rPr>
        <w:t>(Nguồn: Tác giả tổng hợp từ các nghiên cứu quốc tế)</w:t>
      </w:r>
    </w:p>
    <w:p w:rsidR="00764EB5" w:rsidRDefault="00DF13CC" w:rsidP="003D6B28">
      <w:pPr>
        <w:rPr>
          <w:color w:val="auto"/>
        </w:rPr>
      </w:pPr>
      <w:r>
        <w:rPr>
          <w:color w:val="auto"/>
        </w:rPr>
        <w:t>Từ tổng quan nghiên cứu quốc tế, có thể rút ra một số nhận định chính:</w:t>
      </w:r>
    </w:p>
    <w:p w:rsidR="00764EB5" w:rsidRDefault="00DF13CC" w:rsidP="003D6B28">
      <w:pPr>
        <w:rPr>
          <w:color w:val="auto"/>
        </w:rPr>
      </w:pPr>
      <w:r>
        <w:rPr>
          <w:b/>
          <w:bCs/>
          <w:i/>
          <w:iCs/>
          <w:color w:val="auto"/>
          <w:spacing w:val="4"/>
        </w:rPr>
        <w:t>Thứ nhất,</w:t>
      </w:r>
      <w:r>
        <w:rPr>
          <w:color w:val="auto"/>
          <w:spacing w:val="4"/>
        </w:rPr>
        <w:t xml:space="preserve"> các nghiên cứu trên thế giới đã chứng minh rằng hành vi khách hàng mua nhà/căn hộ là một hiện tượng đa chiều, chịu tác động đồng thời của </w:t>
      </w:r>
      <w:r>
        <w:rPr>
          <w:color w:val="auto"/>
          <w:spacing w:val="4"/>
        </w:rPr>
        <w:lastRenderedPageBreak/>
        <w:t>nhóm yếu tố kinh tế – tài chính, thuộc tính sản phẩm, tâm lý, xã hội và bối cảnh thể chế. Nói cách khác, không có một nhóm biến đơn lẻ nào đủ để giải thích đầy đủ quyết định mua căn hộ</w:t>
      </w:r>
      <w:r>
        <w:rPr>
          <w:color w:val="auto"/>
        </w:rPr>
        <w:t>.</w:t>
      </w:r>
    </w:p>
    <w:p w:rsidR="00764EB5" w:rsidRDefault="00DF13CC" w:rsidP="003D6B28">
      <w:pPr>
        <w:rPr>
          <w:color w:val="auto"/>
        </w:rPr>
      </w:pPr>
      <w:r>
        <w:rPr>
          <w:b/>
          <w:bCs/>
          <w:i/>
          <w:iCs/>
          <w:color w:val="auto"/>
        </w:rPr>
        <w:t>Thứ hai,</w:t>
      </w:r>
      <w:r>
        <w:rPr>
          <w:color w:val="auto"/>
        </w:rPr>
        <w:t xml:space="preserve"> về phương pháp nghiên cứu, các công trình quốc tế cho thấy sự chuyển dịch rõ từ các mô hình hồi quy đơn giản sang các tiếp cận tích hợp hơn, bao gồm TPB mở rộng, nghiên cứu định tính chiều sâu, AHP và tổng quan hệ thống. Điều này cho thấy một nghiên cứu chất lượng cao về hành vi mua căn hộ cần không chỉ nhận diện biến số, mà còn phải lựa chọn phương pháp phù hợp với mục tiêu: giải thích hành vi, đo lường quan hệ nhân quả hoặc hỗ trợ lựa chọn.</w:t>
      </w:r>
    </w:p>
    <w:p w:rsidR="00764EB5" w:rsidRDefault="00DF13CC" w:rsidP="003D6B28">
      <w:pPr>
        <w:rPr>
          <w:color w:val="auto"/>
        </w:rPr>
      </w:pPr>
      <w:r>
        <w:rPr>
          <w:b/>
          <w:bCs/>
          <w:i/>
          <w:iCs/>
          <w:color w:val="auto"/>
        </w:rPr>
        <w:t>Thứ ba,</w:t>
      </w:r>
      <w:r>
        <w:rPr>
          <w:color w:val="auto"/>
        </w:rPr>
        <w:t xml:space="preserve"> dù nghiên cứu quốc tế khá phong phú, phần lớn công trình vẫn tập trung vào các bối cảnh như Bangladesh, Malaysia, Ấn Độ, Trung Quốc, Jordan hay Indonesia. Vì vậy, việc vận dụng các kết luận này vào Việt Nam cần có sự điều chỉnh theo đặc thù của thị trường bất động sản trong nước, đặc biệt là các yếu tố như tính pháp lý dự án, uy tín chủ đầu tư, đặc điểm văn hóa và hành vi của khách hàng mua căn hộ trong vùng Đông Nam Bộ.</w:t>
      </w:r>
    </w:p>
    <w:p w:rsidR="00764EB5" w:rsidRDefault="00DF13CC" w:rsidP="007B644D">
      <w:pPr>
        <w:pStyle w:val="Heading2"/>
      </w:pPr>
      <w:bookmarkStart w:id="141" w:name="_Toc241062422"/>
      <w:bookmarkStart w:id="142" w:name="_Toc241064339"/>
      <w:bookmarkStart w:id="143" w:name="_Toc241065272"/>
      <w:bookmarkStart w:id="144" w:name="_Toc241065483"/>
      <w:r>
        <w:t>1.3. Khoảng trống nghiên cứu</w:t>
      </w:r>
      <w:bookmarkEnd w:id="141"/>
      <w:bookmarkEnd w:id="142"/>
      <w:bookmarkEnd w:id="143"/>
      <w:bookmarkEnd w:id="144"/>
    </w:p>
    <w:p w:rsidR="00764EB5" w:rsidRDefault="00DF13CC" w:rsidP="00021C6B">
      <w:pPr>
        <w:ind w:firstLine="0"/>
        <w:outlineLvl w:val="0"/>
        <w:rPr>
          <w:i/>
          <w:color w:val="auto"/>
        </w:rPr>
      </w:pPr>
      <w:bookmarkStart w:id="145" w:name="_Toc241064340"/>
      <w:bookmarkStart w:id="146" w:name="_Toc241065273"/>
      <w:bookmarkStart w:id="147" w:name="_Toc241065484"/>
      <w:r>
        <w:rPr>
          <w:b/>
          <w:i/>
          <w:color w:val="auto"/>
        </w:rPr>
        <w:t>1.3.1. Tổng hợp và đánh giá  các hướng nghiên cứu</w:t>
      </w:r>
      <w:bookmarkEnd w:id="145"/>
      <w:bookmarkEnd w:id="146"/>
      <w:bookmarkEnd w:id="147"/>
    </w:p>
    <w:p w:rsidR="00764EB5" w:rsidRDefault="00DF13CC" w:rsidP="003D6B28">
      <w:pPr>
        <w:rPr>
          <w:color w:val="auto"/>
        </w:rPr>
      </w:pPr>
      <w:r>
        <w:rPr>
          <w:b/>
          <w:bCs/>
          <w:i/>
          <w:iCs/>
          <w:color w:val="auto"/>
        </w:rPr>
        <w:t xml:space="preserve">Thứ nhất, </w:t>
      </w:r>
      <w:r>
        <w:rPr>
          <w:color w:val="auto"/>
        </w:rPr>
        <w:t>nhóm nghiên cứu dựa trên TPB nhìn chung thống nhất rằng Thái độ và Nhận thức kiểm soát hành vi có vai trò tích cực đối với Ý định mua, nhưng kết quả về Chuẩn chủ quan chưa hoàn toàn đồng nhất. Sự khác biệt có thể xuất phát từ đặc điểm văn hóa, loại sản phẩm, cấu trúc mẫu và cách vận hành hóa thang đo. Do đó, Chuẩn chủ quan cần được xem là một quan hệ thực nghiệm cần kiểm định trong từng bối cảnh, thay vì mặc nhiên coi là yếu tố yếu hoặc mạnh.</w:t>
      </w:r>
    </w:p>
    <w:p w:rsidR="00764EB5" w:rsidRDefault="00DF13CC" w:rsidP="003D6B28">
      <w:pPr>
        <w:rPr>
          <w:color w:val="auto"/>
        </w:rPr>
      </w:pPr>
      <w:r>
        <w:rPr>
          <w:b/>
          <w:bCs/>
          <w:i/>
          <w:iCs/>
          <w:color w:val="auto"/>
        </w:rPr>
        <w:t>Thứ hai,</w:t>
      </w:r>
      <w:r>
        <w:rPr>
          <w:color w:val="auto"/>
        </w:rPr>
        <w:t xml:space="preserve"> nhóm nghiên cứu theo thuộc tính sản phẩm thường xem xét giá, vị trí, tiện ích, chất lượng, pháp lý và uy tín chủ đầu tư như các biến giải thích trực tiếp. Hướng tiếp cận này có giá trị quản trị, nhưng dễ làm mô hình phân mảnh và chưa phản ánh đầy đủ cách khách hàng tổng hợp nhiều thuộc tính thành một đánh giá chung về mức độ đáng mua. Việc sử dụng Giá trị cảm nhận giúp kết nối các thuộc tính sản phẩm với quá trình đánh giá tổng thể, song đòi hỏi phải làm rõ nội hàm và giới hạn của cấu trúc đo lường.</w:t>
      </w:r>
    </w:p>
    <w:p w:rsidR="00764EB5" w:rsidRDefault="00DF13CC" w:rsidP="003D6B28">
      <w:pPr>
        <w:spacing w:line="348" w:lineRule="auto"/>
        <w:rPr>
          <w:color w:val="auto"/>
        </w:rPr>
      </w:pPr>
      <w:r>
        <w:rPr>
          <w:b/>
          <w:bCs/>
          <w:i/>
          <w:iCs/>
          <w:color w:val="auto"/>
        </w:rPr>
        <w:lastRenderedPageBreak/>
        <w:t xml:space="preserve">Thứ ba, </w:t>
      </w:r>
      <w:r>
        <w:rPr>
          <w:color w:val="auto"/>
        </w:rPr>
        <w:t>một số nghiên cứu sử dụng “ý định mua”, “quyết định mua” và “hành vi mua” gần như đồng nghĩa, mặc dù đây là các giai đoạn khác nhau của tiến trình ra quyết định. Đối với sản phẩm có giá trị lớn, ý định có thể chưa chuyển thành giao dịch do hạn chế tài chính, tín dụng, pháp lý hoặc thay đổi thị trường. Khoảng cách khái niệm này cần được xử lý rõ trong thiết kế thang đo và cách diễn giải kết quả.</w:t>
      </w:r>
    </w:p>
    <w:p w:rsidR="00764EB5" w:rsidRDefault="00DF13CC" w:rsidP="003D6B28">
      <w:pPr>
        <w:rPr>
          <w:color w:val="auto"/>
        </w:rPr>
      </w:pPr>
      <w:r>
        <w:rPr>
          <w:b/>
          <w:bCs/>
          <w:i/>
          <w:iCs/>
          <w:color w:val="auto"/>
        </w:rPr>
        <w:t xml:space="preserve">Thứ tư, </w:t>
      </w:r>
      <w:r>
        <w:rPr>
          <w:color w:val="auto"/>
        </w:rPr>
        <w:t>phần lớn nghiên cứu thực nghiệm sử dụng dữ liệu cắt ngang và mẫu phi xác suất. Các thiết kế này phù hợp để kiểm định mối liên hệ dự báo nhưng không đủ cơ sở khẳng định quan hệ nhân quả tuyệt đối hoặc suy rộng cho toàn bộ thị trường. Vì vậy, các kết luận và hàm ý cần gắn với đặc điểm mẫu, địa bàn khảo sát và cấu trúc mô hình cụ thể.</w:t>
      </w:r>
    </w:p>
    <w:p w:rsidR="00764EB5" w:rsidRDefault="00DF13CC" w:rsidP="003D6B28">
      <w:pPr>
        <w:rPr>
          <w:color w:val="auto"/>
        </w:rPr>
      </w:pPr>
      <w:r>
        <w:rPr>
          <w:color w:val="auto"/>
        </w:rPr>
        <w:t>Tổng hợp các hướng nghiên cứu cho thấy nhu cầu kiểm định một mô hình TPB mở rộng có bổ sung Giá trị cảm nhận, đồng thời phân biệt rõ Ý định mua với mức độ sẵn sàng ra quyết định mua trong bối cảnh vùng Đông Nam Bộ. Đây là cơ sở trực tiếp để xác lập khoảng trống và định hướng nghiên cứu của luận án.</w:t>
      </w:r>
    </w:p>
    <w:p w:rsidR="00764EB5" w:rsidRPr="00021C6B" w:rsidRDefault="00DF13CC" w:rsidP="00021C6B">
      <w:pPr>
        <w:pStyle w:val="Heading3"/>
      </w:pPr>
      <w:bookmarkStart w:id="148" w:name="_Toc241062423"/>
      <w:bookmarkStart w:id="149" w:name="_Toc241064341"/>
      <w:bookmarkStart w:id="150" w:name="_Toc241065274"/>
      <w:bookmarkStart w:id="151" w:name="_Toc241065485"/>
      <w:r w:rsidRPr="00021C6B">
        <w:t>1.3.2. Khoảng trống nghiên cứu</w:t>
      </w:r>
      <w:bookmarkEnd w:id="148"/>
      <w:bookmarkEnd w:id="149"/>
      <w:bookmarkEnd w:id="150"/>
      <w:bookmarkEnd w:id="151"/>
    </w:p>
    <w:p w:rsidR="00764EB5" w:rsidRDefault="00DF13CC" w:rsidP="00021C6B">
      <w:pPr>
        <w:pStyle w:val="Heading3"/>
      </w:pPr>
      <w:bookmarkStart w:id="152" w:name="_Toc241062424"/>
      <w:bookmarkStart w:id="153" w:name="_Toc241064342"/>
      <w:bookmarkStart w:id="154" w:name="_Toc241065275"/>
      <w:bookmarkStart w:id="155" w:name="_Toc241065486"/>
      <w:r>
        <w:t>1.3.2.1. Khoảng trống về nội dung và cách tiếp cận nghiên cứu</w:t>
      </w:r>
      <w:bookmarkEnd w:id="152"/>
      <w:bookmarkEnd w:id="153"/>
      <w:bookmarkEnd w:id="154"/>
      <w:bookmarkEnd w:id="155"/>
    </w:p>
    <w:p w:rsidR="00764EB5" w:rsidRDefault="00DF13CC" w:rsidP="003D6B28">
      <w:pPr>
        <w:rPr>
          <w:color w:val="auto"/>
        </w:rPr>
      </w:pPr>
      <w:r>
        <w:rPr>
          <w:color w:val="auto"/>
        </w:rPr>
        <w:t>Các nghiên cứu trước đã nhận diện nhiều yếu tố liên quan đến lựa chọn căn hộ, nhưng bằng chứng về việc kết hợp các cấu phần cốt lõi của TPB với Giá trị cảm nhận trong một mô hình gọn, nhất quán và phù hợp với bối cảnh vùng Đông Nam Bộ còn hạn chế. Luận án tập trung kiểm định phần mở rộng này ở mức ứng dụng, không tuyên bố xây dựng một lý thuyết hoàn toàn mới.</w:t>
      </w:r>
    </w:p>
    <w:p w:rsidR="00764EB5" w:rsidRDefault="00DF13CC" w:rsidP="00021C6B">
      <w:pPr>
        <w:pStyle w:val="Heading3"/>
      </w:pPr>
      <w:bookmarkStart w:id="156" w:name="_Toc241062425"/>
      <w:bookmarkStart w:id="157" w:name="_Toc241064343"/>
      <w:bookmarkStart w:id="158" w:name="_Toc241065276"/>
      <w:bookmarkStart w:id="159" w:name="_Toc241065487"/>
      <w:r>
        <w:t>1.3.2.2. Khoảng trống về đo lường và cơ chế tác động</w:t>
      </w:r>
      <w:bookmarkEnd w:id="156"/>
      <w:bookmarkEnd w:id="157"/>
      <w:bookmarkEnd w:id="158"/>
      <w:bookmarkEnd w:id="159"/>
    </w:p>
    <w:p w:rsidR="00764EB5" w:rsidRDefault="00DF13CC" w:rsidP="003D6B28">
      <w:pPr>
        <w:spacing w:line="348" w:lineRule="auto"/>
        <w:rPr>
          <w:color w:val="auto"/>
        </w:rPr>
      </w:pPr>
      <w:r>
        <w:rPr>
          <w:color w:val="auto"/>
        </w:rPr>
        <w:t>Nhiều công trình chưa phân biệt rõ Ý định mua với hành vi mua đã xảy ra hoặc mức độ sẵn sàng hành động. Luận án xác định QDM là mức độ sẵn sàng ra quyết định mua và xem xét tác động gián tiếp của các biến tiền đề đến QDM thông qua Ý định mua. Do mô hình không bao gồm đầy đủ các đường trực tiếp từ từng biến tiền đề đến QDM, nghiên cứu chỉ kết luận về ý nghĩa của tác động gián tiếp, không phân loại cơ chế trung gian thành toàn phần hay một phần.</w:t>
      </w:r>
    </w:p>
    <w:p w:rsidR="00764EB5" w:rsidRDefault="00DF13CC" w:rsidP="00021C6B">
      <w:pPr>
        <w:pStyle w:val="Heading3"/>
      </w:pPr>
      <w:bookmarkStart w:id="160" w:name="_Toc241062426"/>
      <w:bookmarkStart w:id="161" w:name="_Toc241064344"/>
      <w:bookmarkStart w:id="162" w:name="_Toc241065277"/>
      <w:bookmarkStart w:id="163" w:name="_Toc241065488"/>
      <w:r>
        <w:t>1.3.2.3. Khoảng trống về bối cảnh nghiên cứu</w:t>
      </w:r>
      <w:bookmarkEnd w:id="160"/>
      <w:bookmarkEnd w:id="161"/>
      <w:bookmarkEnd w:id="162"/>
      <w:bookmarkEnd w:id="163"/>
    </w:p>
    <w:p w:rsidR="00764EB5" w:rsidRPr="00021C6B" w:rsidRDefault="00DF13CC" w:rsidP="003D6B28">
      <w:pPr>
        <w:rPr>
          <w:color w:val="auto"/>
          <w:spacing w:val="-4"/>
        </w:rPr>
      </w:pPr>
      <w:r w:rsidRPr="00021C6B">
        <w:rPr>
          <w:color w:val="auto"/>
          <w:spacing w:val="-4"/>
        </w:rPr>
        <w:t xml:space="preserve">Vùng Đông Nam Bộ có sự khác biệt lớn giữa thị trường trưởng thành, khu vực tăng trưởng nhanh gắn với hạ tầng và công nghiệp, và thị trường mới nổi. Việc kiểm </w:t>
      </w:r>
      <w:r w:rsidRPr="00021C6B">
        <w:rPr>
          <w:color w:val="auto"/>
          <w:spacing w:val="-4"/>
        </w:rPr>
        <w:lastRenderedPageBreak/>
        <w:t>định mô hình trong bối cảnh này góp phần bổ sung bằng chứng theo địa bàn, nhưng kết quả được giới hạn trong phạm vi các địa phương và nhóm khách hàng được khảo sát.</w:t>
      </w:r>
    </w:p>
    <w:p w:rsidR="00764EB5" w:rsidRDefault="00DF13CC" w:rsidP="00021C6B">
      <w:pPr>
        <w:pStyle w:val="Heading3"/>
      </w:pPr>
      <w:bookmarkStart w:id="164" w:name="_Toc241062427"/>
      <w:bookmarkStart w:id="165" w:name="_Toc241064345"/>
      <w:bookmarkStart w:id="166" w:name="_Toc241065278"/>
      <w:bookmarkStart w:id="167" w:name="_Toc241065489"/>
      <w:r>
        <w:t>1.3.2.4. Khoảng trống về phương pháp và cách diễn giải</w:t>
      </w:r>
      <w:bookmarkEnd w:id="164"/>
      <w:bookmarkEnd w:id="165"/>
      <w:bookmarkEnd w:id="166"/>
      <w:bookmarkEnd w:id="167"/>
    </w:p>
    <w:p w:rsidR="00764EB5" w:rsidRDefault="00DF13CC" w:rsidP="003D6B28">
      <w:pPr>
        <w:rPr>
          <w:color w:val="auto"/>
        </w:rPr>
      </w:pPr>
      <w:r>
        <w:rPr>
          <w:color w:val="auto"/>
        </w:rPr>
        <w:t>Một số nghiên cứu trước chủ yếu sử dụng hồi quy tuyến tính hoặc chỉ báo cáo ý nghĩa thống kê mà chưa xem xét đồng thời mô hình đo lường, kích thước ảnh hưởng và khả năng dự báo. Luận án sử dụng PLS-SEM để đánh giá các khía cạnh này; đồng thời phân biệt hệ số đường dẫn với f² nhằm tránh xếp hạng mức độ ảnh hưởng chỉ dựa trên chênh lệch nhỏ của hệ số ước lượng.</w:t>
      </w:r>
    </w:p>
    <w:p w:rsidR="00764EB5" w:rsidRDefault="00DF13CC" w:rsidP="00021C6B">
      <w:pPr>
        <w:pStyle w:val="Heading3"/>
      </w:pPr>
      <w:bookmarkStart w:id="168" w:name="_Toc241062428"/>
      <w:bookmarkStart w:id="169" w:name="_Toc241064346"/>
      <w:bookmarkStart w:id="170" w:name="_Toc241065279"/>
      <w:bookmarkStart w:id="171" w:name="_Toc241065490"/>
      <w:r>
        <w:t>1.3.3. Định hướng nghiên cứu của luận án</w:t>
      </w:r>
      <w:bookmarkEnd w:id="168"/>
      <w:bookmarkEnd w:id="169"/>
      <w:bookmarkEnd w:id="170"/>
      <w:bookmarkEnd w:id="171"/>
    </w:p>
    <w:p w:rsidR="00764EB5" w:rsidRDefault="00DF13CC" w:rsidP="003D6B28">
      <w:pPr>
        <w:rPr>
          <w:color w:val="auto"/>
        </w:rPr>
      </w:pPr>
      <w:r>
        <w:rPr>
          <w:color w:val="auto"/>
        </w:rPr>
        <w:t>Từ các khoảng trống trên, luận án xây dựng mô hình gồm Thái độ, Chuẩn chủ quan, Nhận thức kiểm soát hành vi và Giá trị cảm nhận căn hộ tác động đến Ý định mua; Ý định mua tác động đến mức độ sẵn sàng ra quyết định mua. Các hàm ý được rút ra trực tiếp từ những biến đã kiểm định và được diễn giải thận trọng trong phạm vi mẫu nghiên cứu.</w:t>
      </w:r>
    </w:p>
    <w:p w:rsidR="00764EB5" w:rsidRDefault="00764EB5" w:rsidP="003D6B28">
      <w:pPr>
        <w:jc w:val="center"/>
        <w:rPr>
          <w:b/>
          <w:bCs/>
          <w:color w:val="auto"/>
        </w:rPr>
      </w:pPr>
    </w:p>
    <w:p w:rsidR="003D6B28" w:rsidRDefault="003D6B28" w:rsidP="003D6B28">
      <w:pPr>
        <w:suppressAutoHyphens w:val="0"/>
        <w:ind w:firstLine="0"/>
        <w:jc w:val="left"/>
        <w:rPr>
          <w:b/>
          <w:bCs/>
          <w:color w:val="auto"/>
        </w:rPr>
      </w:pPr>
      <w:r>
        <w:rPr>
          <w:b/>
          <w:bCs/>
          <w:color w:val="auto"/>
        </w:rPr>
        <w:br w:type="page"/>
      </w:r>
    </w:p>
    <w:p w:rsidR="00764EB5" w:rsidRDefault="00DF13CC" w:rsidP="00021C6B">
      <w:pPr>
        <w:jc w:val="center"/>
        <w:outlineLvl w:val="0"/>
        <w:rPr>
          <w:b/>
          <w:bCs/>
          <w:color w:val="auto"/>
        </w:rPr>
      </w:pPr>
      <w:bookmarkStart w:id="172" w:name="_Toc241064347"/>
      <w:bookmarkStart w:id="173" w:name="_Toc241065280"/>
      <w:bookmarkStart w:id="174" w:name="_Toc241065491"/>
      <w:r>
        <w:rPr>
          <w:b/>
          <w:bCs/>
          <w:color w:val="auto"/>
        </w:rPr>
        <w:lastRenderedPageBreak/>
        <w:t>TÓM TẮT CHƯƠNG 1</w:t>
      </w:r>
      <w:bookmarkEnd w:id="172"/>
      <w:bookmarkEnd w:id="173"/>
      <w:bookmarkEnd w:id="174"/>
    </w:p>
    <w:p w:rsidR="003D6B28" w:rsidRPr="003D6B28" w:rsidRDefault="003D6B28" w:rsidP="003D6B28">
      <w:pPr>
        <w:jc w:val="center"/>
        <w:rPr>
          <w:color w:val="auto"/>
          <w:sz w:val="10"/>
        </w:rPr>
      </w:pPr>
    </w:p>
    <w:p w:rsidR="00764EB5" w:rsidRDefault="00DF13CC" w:rsidP="003D6B28">
      <w:pPr>
        <w:spacing w:line="348" w:lineRule="auto"/>
        <w:rPr>
          <w:color w:val="auto"/>
        </w:rPr>
      </w:pPr>
      <w:r>
        <w:rPr>
          <w:color w:val="auto"/>
        </w:rPr>
        <w:t>Chương 1 đã hệ thống hóa và phân tích các công trình nghiên cứu trong nước và quốc tế liên quan đến hành vi, ý định và quyết định mua nhà ở, căn hộ chung cư. Kết quả tổng quan cho thấy hành vi mua căn hộ là một quá trình đa chiều, chịu tác động đồng thời của các yếu tố tâm lý, xã hội, khả năng kiểm soát nguồn lực, thuộc tính sản phẩm và bối cảnh thị trường. Các nghiên cứu trước đã cung cấp nền tảng quan trọng cho việc giải thích hành vi người mua, song vẫn tồn tại sự khác biệt về cách tiếp cận lý thuyết, cách đặc tả các biến nghiên cứu, phương pháp đo lường và phạm vi bối cảnh thực nghiệm.</w:t>
      </w:r>
    </w:p>
    <w:p w:rsidR="00764EB5" w:rsidRDefault="00DF13CC" w:rsidP="003D6B28">
      <w:pPr>
        <w:spacing w:line="348" w:lineRule="auto"/>
        <w:rPr>
          <w:color w:val="auto"/>
        </w:rPr>
      </w:pPr>
      <w:r>
        <w:rPr>
          <w:color w:val="auto"/>
        </w:rPr>
        <w:t>Trên cơ sở phân tích và đánh giá phê phán các công trình có liên quan, luận án xác định bốn nhóm khoảng trống chủ yếu. Thứ nhất, bằng chứng về việc kết hợp các cấu phần cốt lõi của TPB với Giá trị cảm nhận trong một mô hình gọn, nhất quán đối với thị trường căn hộ vùng Đông Nam Bộ còn hạn chế. Thứ hai, một số nghiên cứu chưa phân biệt rõ giữa Ý định mua, mức độ sẵn sàng ra quyết định mua và hành vi giao dịch đã hoàn tất. Thứ ba, các kết quả thực nghiệm còn phụ thuộc đáng kể vào bối cảnh địa lý và đặc điểm thị trường, trong khi bằng chứng ở quy mô vùng Đông Nam Bộ chưa phong phú. Thứ tư, một số nghiên cứu chủ yếu chú trọng ý nghĩa thống kê của các hệ số mà chưa xem xét đồng thời chất lượng mô hình đo lường, kích thước ảnh hưởng và khả năng giải thích, dự báo của mô hình.</w:t>
      </w:r>
    </w:p>
    <w:p w:rsidR="00764EB5" w:rsidRDefault="00DF13CC" w:rsidP="003D6B28">
      <w:pPr>
        <w:spacing w:line="348" w:lineRule="auto"/>
        <w:rPr>
          <w:color w:val="auto"/>
        </w:rPr>
      </w:pPr>
      <w:r>
        <w:rPr>
          <w:color w:val="auto"/>
        </w:rPr>
        <w:t>Từ các khoảng trống trên, luận án xác lập định hướng nghiên cứu theo mô hình TPB mở rộng, trong đó Thái độ, Chuẩn chủ quan, Nhận thức kiểm soát hành vi và Giá trị cảm nhận căn hộ được xem xét như các yếu tố dự báo Ý định mua; Ý định mua tiếp tục được kiểm định trong mối quan hệ với mức độ sẵn sàng ra quyết định mua. Các thuộc tính như vị trí, pháp lý, uy tín chủ đầu tư, tiện ích và phong thủy được sử dụng để làm rõ bối cảnh và nội hàm đánh giá của khách hàng, không được suy rộng thành những biến độc lập có tác động riêng khi chưa được mô hình hóa và kiểm định tương ứng.</w:t>
      </w:r>
    </w:p>
    <w:p w:rsidR="00764EB5" w:rsidRPr="00021C6B" w:rsidRDefault="00DF13CC" w:rsidP="003D6B28">
      <w:pPr>
        <w:spacing w:line="348" w:lineRule="auto"/>
        <w:rPr>
          <w:color w:val="auto"/>
          <w:spacing w:val="-2"/>
        </w:rPr>
      </w:pPr>
      <w:r w:rsidRPr="00021C6B">
        <w:rPr>
          <w:color w:val="auto"/>
          <w:spacing w:val="-2"/>
        </w:rPr>
        <w:t>Những kết quả tổng quan và khoảng trống nghiên cứu được xác định trong Chương 1 là cơ sở để Chương 2 tiếp tục làm rõ các khái niệm, nền tảng lý thuyết, phát triển giả thuyết và xây dựng mô hình nghiên cứu phù hợp với mục tiêu của luận án.</w:t>
      </w:r>
    </w:p>
    <w:p w:rsidR="003D6B28" w:rsidRPr="003D6B28" w:rsidRDefault="003D6B28" w:rsidP="003D6B28">
      <w:pPr>
        <w:pStyle w:val="Heading1"/>
        <w:ind w:firstLine="0"/>
        <w:rPr>
          <w:rFonts w:ascii="Times New Roman" w:hAnsi="Times New Roman"/>
          <w:color w:val="auto"/>
          <w:sz w:val="6"/>
        </w:rPr>
      </w:pPr>
      <w:bookmarkStart w:id="175" w:name="_Toc234224093"/>
    </w:p>
    <w:p w:rsidR="00764EB5" w:rsidRDefault="00DF13CC" w:rsidP="003D6B28">
      <w:pPr>
        <w:pStyle w:val="Heading1"/>
        <w:ind w:firstLine="0"/>
        <w:rPr>
          <w:color w:val="auto"/>
        </w:rPr>
      </w:pPr>
      <w:bookmarkStart w:id="176" w:name="_Toc241062429"/>
      <w:bookmarkStart w:id="177" w:name="_Toc241064348"/>
      <w:bookmarkStart w:id="178" w:name="_Toc241065281"/>
      <w:bookmarkStart w:id="179" w:name="_Toc241065492"/>
      <w:r>
        <w:rPr>
          <w:rFonts w:ascii="Times New Roman" w:hAnsi="Times New Roman"/>
          <w:color w:val="auto"/>
        </w:rPr>
        <w:t>CHƯƠNG 2: CƠ SỞ LÝ LUẬN VÀ MÔ HÌNH NGHIÊN CỨU</w:t>
      </w:r>
      <w:bookmarkEnd w:id="175"/>
      <w:bookmarkEnd w:id="176"/>
      <w:bookmarkEnd w:id="177"/>
      <w:bookmarkEnd w:id="178"/>
      <w:bookmarkEnd w:id="179"/>
    </w:p>
    <w:p w:rsidR="00764EB5" w:rsidRPr="00021C6B" w:rsidRDefault="00764EB5" w:rsidP="003D6B28">
      <w:pPr>
        <w:rPr>
          <w:color w:val="auto"/>
          <w:sz w:val="18"/>
        </w:rPr>
      </w:pPr>
    </w:p>
    <w:p w:rsidR="00764EB5" w:rsidRDefault="00DF13CC" w:rsidP="007B644D">
      <w:pPr>
        <w:pStyle w:val="Heading2"/>
      </w:pPr>
      <w:bookmarkStart w:id="180" w:name="_Toc241062430"/>
      <w:bookmarkStart w:id="181" w:name="_Toc241064349"/>
      <w:bookmarkStart w:id="182" w:name="_Toc241065282"/>
      <w:bookmarkStart w:id="183" w:name="_Toc241065493"/>
      <w:bookmarkStart w:id="184" w:name="_Toc234224094"/>
      <w:r>
        <w:t>2.1. Cơ sở lý luận trong nghiên cứu</w:t>
      </w:r>
      <w:bookmarkEnd w:id="180"/>
      <w:bookmarkEnd w:id="181"/>
      <w:bookmarkEnd w:id="182"/>
      <w:bookmarkEnd w:id="183"/>
      <w:r>
        <w:t xml:space="preserve"> </w:t>
      </w:r>
      <w:bookmarkEnd w:id="184"/>
    </w:p>
    <w:p w:rsidR="00764EB5" w:rsidRDefault="00DF13CC" w:rsidP="007B644D">
      <w:pPr>
        <w:pStyle w:val="Heading2"/>
      </w:pPr>
      <w:bookmarkStart w:id="185" w:name="_Toc238480593"/>
      <w:bookmarkStart w:id="186" w:name="_Toc241062431"/>
      <w:bookmarkStart w:id="187" w:name="_Toc241064350"/>
      <w:bookmarkStart w:id="188" w:name="_Toc241065283"/>
      <w:bookmarkStart w:id="189" w:name="_Toc241065494"/>
      <w:r>
        <w:t>2.1.1. Căn hộ chung cư</w:t>
      </w:r>
      <w:bookmarkEnd w:id="185"/>
      <w:bookmarkEnd w:id="186"/>
      <w:bookmarkEnd w:id="187"/>
      <w:bookmarkEnd w:id="188"/>
      <w:bookmarkEnd w:id="189"/>
    </w:p>
    <w:p w:rsidR="00764EB5" w:rsidRDefault="00DF13CC" w:rsidP="00021C6B">
      <w:pPr>
        <w:pStyle w:val="Heading3"/>
      </w:pPr>
      <w:bookmarkStart w:id="190" w:name="_Toc241062432"/>
      <w:bookmarkStart w:id="191" w:name="_Toc241064351"/>
      <w:bookmarkStart w:id="192" w:name="_Toc241065284"/>
      <w:bookmarkStart w:id="193" w:name="_Toc241065495"/>
      <w:bookmarkStart w:id="194" w:name="_Toc238480594"/>
      <w:r>
        <w:t>2.1.1.1. Khái  niệm</w:t>
      </w:r>
      <w:bookmarkEnd w:id="190"/>
      <w:bookmarkEnd w:id="191"/>
      <w:bookmarkEnd w:id="192"/>
      <w:bookmarkEnd w:id="193"/>
      <w:r>
        <w:t xml:space="preserve">  </w:t>
      </w:r>
      <w:bookmarkEnd w:id="194"/>
    </w:p>
    <w:p w:rsidR="00764EB5" w:rsidRDefault="00DF13CC" w:rsidP="003D6B28">
      <w:pPr>
        <w:rPr>
          <w:color w:val="auto"/>
        </w:rPr>
      </w:pPr>
      <w:r>
        <w:rPr>
          <w:color w:val="auto"/>
        </w:rPr>
        <w:t>Theo Luật Nhà ở số 27/2023/QH15, nhà chung cư là loại nhà ở có nhiều căn hộ, có phần sở hữu riêng, phần sở hữu chung và hệ thống công trình hạ tầng sử dụng chung cho các chủ sở hữu, người sử dụng. Căn hộ chung cư vì vậy vừa là một không gian ở độc lập, vừa gắn với quyền và nghĩa vụ đối với phần sở hữu chung và hoạt động quản lý, vận hành tòa nhà (Quốc hội, 2023a)..</w:t>
      </w:r>
    </w:p>
    <w:p w:rsidR="00764EB5" w:rsidRPr="003D6B28" w:rsidRDefault="00DF13CC" w:rsidP="003D6B28">
      <w:pPr>
        <w:rPr>
          <w:color w:val="auto"/>
          <w:spacing w:val="-4"/>
        </w:rPr>
      </w:pPr>
      <w:r w:rsidRPr="003D6B28">
        <w:rPr>
          <w:color w:val="auto"/>
          <w:spacing w:val="-4"/>
        </w:rPr>
        <w:t xml:space="preserve">Luật Kinh doanh bất động sản số 29/2023/QH15 quy định điều kiện của nhà ở, công trình xây dựng và dự án bất động sản khi đưa vào kinh doanh, cùng các yêu cầu về công khai thông tin và trách nhiệm của chủ thể kinh doanh. Đối với người mua căn hộ, những yêu cầu này làm nổi bật vai trò của hồ sơ pháp lý, thông tin dự án và điều kiện giao dịch trong quá trình đánh giá phương án mua (Quốc hội, 2023b). </w:t>
      </w:r>
    </w:p>
    <w:p w:rsidR="00764EB5" w:rsidRDefault="00DF13CC" w:rsidP="003D6B28">
      <w:pPr>
        <w:rPr>
          <w:color w:val="auto"/>
        </w:rPr>
      </w:pPr>
      <w:r>
        <w:rPr>
          <w:color w:val="auto"/>
        </w:rPr>
        <w:t>Như vậy, về bản chất pháp lý, căn hộ chung cư vừa là một đơn vị nhà ở độc lập, vừa là một phần của một tổng thể công trình có tính sở hữu hỗn hợp (mixed ownership), trong đó quyền lợi và nghĩa vụ của chủ sở hữu gắn liền với cả phần diện tích riêng và phần diện tích chung.</w:t>
      </w:r>
    </w:p>
    <w:p w:rsidR="00764EB5" w:rsidRPr="00021C6B" w:rsidRDefault="00DF13CC" w:rsidP="00021C6B">
      <w:pPr>
        <w:pStyle w:val="Heading4"/>
      </w:pPr>
      <w:r w:rsidRPr="00021C6B">
        <w:t>2.1.1.2. Đặc điểm kinh tế – kỹ thuật của căn hộ chung cư</w:t>
      </w:r>
    </w:p>
    <w:p w:rsidR="00764EB5" w:rsidRDefault="00DF13CC" w:rsidP="003D6B28">
      <w:pPr>
        <w:rPr>
          <w:color w:val="auto"/>
        </w:rPr>
      </w:pPr>
      <w:r>
        <w:rPr>
          <w:color w:val="auto"/>
        </w:rPr>
        <w:t>Căn hộ chung cư có những đặc điểm kinh tế – kỹ thuật đặc thù, phân biệt với các loại hình nhà ở khác như nhà ở riêng lẻ hay nhà phố.</w:t>
      </w:r>
    </w:p>
    <w:p w:rsidR="00764EB5" w:rsidRDefault="00DF13CC" w:rsidP="003D6B28">
      <w:pPr>
        <w:rPr>
          <w:color w:val="auto"/>
        </w:rPr>
      </w:pPr>
      <w:r>
        <w:rPr>
          <w:color w:val="auto"/>
        </w:rPr>
        <w:t>Thứ nhất, về đặc điểm kỹ thuật, căn hộ chung cư là sản phẩm của quá trình phát triển đô thị theo chiều cao, với thiết kế kiến trúc tích hợp nhiều chức năng trong cùng một công trình. Các căn hộ được bố trí theo mô-đun, tối ưu hóa diện tích sử dụng, đồng thời chia sẻ hệ thống hạ tầng kỹ thuật như điện, nước, thang máy, phòng cháy chữa cháy và các tiện ích chung. Điều này tạo ra tính liên kết cao giữa các cư dân trong cùng một tòa nhà.</w:t>
      </w:r>
    </w:p>
    <w:p w:rsidR="00764EB5" w:rsidRPr="00021C6B" w:rsidRDefault="00DF13CC" w:rsidP="003D6B28">
      <w:pPr>
        <w:rPr>
          <w:color w:val="auto"/>
          <w:spacing w:val="-2"/>
        </w:rPr>
      </w:pPr>
      <w:r w:rsidRPr="00021C6B">
        <w:rPr>
          <w:color w:val="auto"/>
          <w:spacing w:val="-2"/>
        </w:rPr>
        <w:t xml:space="preserve">Thứ hai, về đặc điểm kinh tế, căn hộ chung cư là loại hình bất động sản có giá trị lớn, thời gian sử dụng dài và chịu ảnh hưởng của cung - cầu, chi phí vốn, quy </w:t>
      </w:r>
      <w:r w:rsidRPr="00021C6B">
        <w:rPr>
          <w:color w:val="auto"/>
          <w:spacing w:val="-2"/>
        </w:rPr>
        <w:lastRenderedPageBreak/>
        <w:t>hoạch và khung pháp lý. Việc phát triển nhà ở nhiều tầng góp phần sử dụng đất đô thị hiệu quả hơn và tạo ra nhiều phân khúc sản phẩm, nhưng khả năng chi trả vẫn là ràng buộc quan trọng đối với các hộ gia đình đô thị (UN-Habitat, 2014; World Bank, 2015).</w:t>
      </w:r>
    </w:p>
    <w:p w:rsidR="00764EB5" w:rsidRDefault="00DF13CC" w:rsidP="003D6B28">
      <w:pPr>
        <w:spacing w:line="348" w:lineRule="auto"/>
        <w:rPr>
          <w:color w:val="auto"/>
        </w:rPr>
      </w:pPr>
      <w:r>
        <w:rPr>
          <w:color w:val="auto"/>
        </w:rPr>
        <w:t>Thứ ba, căn hộ chung cư có tính đồng sở hữu, trong đó chủ sở hữu không chỉ sở hữu căn hộ riêng mà còn có quyền và nghĩa vụ đối với các phần diện tích chung như hành lang, thang máy, khu sinh hoạt cộng đồng. Điều này đòi hỏi cơ chế quản lý vận hành chuyên nghiệp và minh bạch, đồng thời ảnh hưởng trực tiếp đến trải nghiệm và quyết định mua của khách hàng.</w:t>
      </w:r>
    </w:p>
    <w:p w:rsidR="00764EB5" w:rsidRDefault="00DF13CC" w:rsidP="003D6B28">
      <w:pPr>
        <w:spacing w:line="348" w:lineRule="auto"/>
        <w:rPr>
          <w:color w:val="auto"/>
        </w:rPr>
      </w:pPr>
      <w:r>
        <w:rPr>
          <w:color w:val="auto"/>
        </w:rPr>
        <w:t>Thứ tư, căn hộ chung cư mang tính chuẩn hóa cao, do được phát triển theo dự án bởi các chủ đầu tư. Điều này giúp giảm chi phí xây dựng, tăng hiệu quả sử dụng đất và đáp ứng nhu cầu nhà ở quy mô lớn trong bối cảnh đô thị hóa nhanh, đặc biệt tại khu vực Đông Nam Bộ.</w:t>
      </w:r>
    </w:p>
    <w:p w:rsidR="00764EB5" w:rsidRPr="00021C6B" w:rsidRDefault="00DF13CC" w:rsidP="00021C6B">
      <w:pPr>
        <w:pStyle w:val="Heading4"/>
      </w:pPr>
      <w:r w:rsidRPr="00021C6B">
        <w:t>2.1.1.3. Phân loại căn hộ chung cư</w:t>
      </w:r>
    </w:p>
    <w:p w:rsidR="00764EB5" w:rsidRDefault="00DF13CC" w:rsidP="003D6B28">
      <w:pPr>
        <w:spacing w:line="348" w:lineRule="auto"/>
        <w:rPr>
          <w:color w:val="auto"/>
        </w:rPr>
      </w:pPr>
      <w:r>
        <w:rPr>
          <w:color w:val="auto"/>
        </w:rPr>
        <w:t>Trong thực tiễn thị trường bất động sản Việt Nam, căn hộ chung cư thường được phân loại theo nhiều tiêu chí, trong đó phổ biến nhất là phân loại theo phân khúc thị trường, bao gồm: căn hộ bình dân, trung cấp và cao cấp.</w:t>
      </w:r>
    </w:p>
    <w:p w:rsidR="00764EB5" w:rsidRDefault="00DF13CC" w:rsidP="003D6B28">
      <w:pPr>
        <w:spacing w:line="348" w:lineRule="auto"/>
        <w:rPr>
          <w:color w:val="auto"/>
          <w:spacing w:val="-4"/>
        </w:rPr>
      </w:pPr>
      <w:r>
        <w:rPr>
          <w:color w:val="auto"/>
        </w:rPr>
        <w:t>-Căn hộ bình dân: Đây là  phân khúc căn hộ có mức giá phù hợp với khả năng chi trả hướng đến nhóm khách hàng thu nhập thấp và trung bình, thường có diện tích vừa phải và tập trung ở khu vực có quỹ đất, hạ tầng cho phép giảm chi phí phát triển. Trong bối cảnh thị trường Việt Nam, cân đối nguồn cung theo khả năng chi trả tiếp tục là một vấn đề chính sách và thị trường đáng chú ý (Bộ Xây dựng, 2025; World Bank, 2015).</w:t>
      </w:r>
    </w:p>
    <w:p w:rsidR="00764EB5" w:rsidRDefault="00DF13CC" w:rsidP="003D6B28">
      <w:pPr>
        <w:spacing w:line="348" w:lineRule="auto"/>
        <w:rPr>
          <w:color w:val="auto"/>
        </w:rPr>
      </w:pPr>
      <w:r>
        <w:rPr>
          <w:color w:val="auto"/>
        </w:rPr>
        <w:t>-Căn hộ trung cấp: Đây là phân khúc căn hộ hướng đến nhóm khách hàng có thu nhập ổn định, với yêu cầu cao hơn về chất lượng xây dựng, thiết kế, tiện ích và vị trí. Các dự án thuộc phân khúc này thường nằm ở các khu vực có hạ tầng phát triển tốt, tích hợp nhiều tiện ích như trung tâm thương mại, khu vui chơi, trường học và bệnh viện. Đây là phân khúc chiếm tỷ trọng lớn trong cơ cấu nguồn cung tại các đô thị lớn.</w:t>
      </w:r>
    </w:p>
    <w:p w:rsidR="00764EB5" w:rsidRDefault="00DF13CC" w:rsidP="003D6B28">
      <w:pPr>
        <w:rPr>
          <w:color w:val="auto"/>
        </w:rPr>
      </w:pPr>
      <w:r>
        <w:rPr>
          <w:color w:val="auto"/>
        </w:rPr>
        <w:t xml:space="preserve">- Căn hộ cao cấp: Loại này hướng đến nhóm khách hàng có khả năng chi trả cao và thường kết hợp các thuộc tính vị trí, thiết kế, tiện ích, dịch vụ quản lý và </w:t>
      </w:r>
      <w:r>
        <w:rPr>
          <w:color w:val="auto"/>
        </w:rPr>
        <w:lastRenderedPageBreak/>
        <w:t>thương hiệu dự án. Ngoài giá trị chức năng, người mua có thể đánh giá cả giá trị cảm xúc, xã hội và biểu tượng của sản phẩm nhà ở; cách tiếp cận này phù hợp với lý thuyết giá trị tiêu dùng và giá trị cảm nhận đa chiều (Sheth et al., 1991; Sweeney and Soutar, 2001).</w:t>
      </w:r>
    </w:p>
    <w:p w:rsidR="00764EB5" w:rsidRPr="00021C6B" w:rsidRDefault="00DF13CC" w:rsidP="00021C6B">
      <w:pPr>
        <w:pStyle w:val="Heading3"/>
      </w:pPr>
      <w:bookmarkStart w:id="195" w:name="_Toc241062433"/>
      <w:bookmarkStart w:id="196" w:name="_Toc241064352"/>
      <w:bookmarkStart w:id="197" w:name="_Toc241065285"/>
      <w:bookmarkStart w:id="198" w:name="_Toc241065496"/>
      <w:r w:rsidRPr="00021C6B">
        <w:t>2.1.2. Khách  hàng  mua  căn  hộ chung  cư</w:t>
      </w:r>
      <w:bookmarkEnd w:id="195"/>
      <w:bookmarkEnd w:id="196"/>
      <w:bookmarkEnd w:id="197"/>
      <w:bookmarkEnd w:id="198"/>
    </w:p>
    <w:p w:rsidR="00764EB5" w:rsidRPr="00021C6B" w:rsidRDefault="00DF13CC" w:rsidP="00021C6B">
      <w:pPr>
        <w:pStyle w:val="Heading4"/>
        <w:spacing w:line="353" w:lineRule="auto"/>
      </w:pPr>
      <w:bookmarkStart w:id="199" w:name="_Toc238480591"/>
      <w:r w:rsidRPr="00021C6B">
        <w:t xml:space="preserve">2.1.2.1. Khái niệm </w:t>
      </w:r>
      <w:bookmarkEnd w:id="199"/>
    </w:p>
    <w:p w:rsidR="00764EB5" w:rsidRDefault="00DF13CC" w:rsidP="00021C6B">
      <w:pPr>
        <w:spacing w:line="353" w:lineRule="auto"/>
        <w:rPr>
          <w:color w:val="auto"/>
        </w:rPr>
      </w:pPr>
      <w:r>
        <w:rPr>
          <w:color w:val="auto"/>
        </w:rPr>
        <w:t>Có một số khái niệm khác nhau về về khách hàng mua căn hộ chung cư. Trong nghiên cứu này Khách hàng mua căn hộ chung cư được hiểu là các cá nhân, hộ gia đình hoặc tổ chức có nhu cầu và thực hiện giao dịch mua căn hộ thuộc dự án nhà ở thương mại nhằm mục đích để ở, đầu tư hoặc kết hợp cả hai mục đích.</w:t>
      </w:r>
    </w:p>
    <w:p w:rsidR="00764EB5" w:rsidRDefault="00DF13CC" w:rsidP="00021C6B">
      <w:pPr>
        <w:spacing w:line="353" w:lineRule="auto"/>
        <w:rPr>
          <w:color w:val="auto"/>
        </w:rPr>
      </w:pPr>
      <w:r>
        <w:rPr>
          <w:color w:val="auto"/>
        </w:rPr>
        <w:t>Về mặt pháp lý, Luật Nhà ở số 27/2023/QH15 và Luật Kinh doanh bất động sản số 29/2023/QH15 là hai văn bản nền tảng điều chỉnh quyền sở hữu, quản lý, sử dụng nhà ở và hoạt động kinh doanh bất động sản. Theo Luật số 43/2024/QH15, thời điểm có hiệu lực của các quy định liên quan trong Luật Nhà ở 2023, Luật Kinh doanh bất động sản 2023 và Luật Đất đai 2024 được điều chỉnh sớm từ ngày 01/8/2024. Vì vậy, việc xác định chủ thể mua căn hộ và điều kiện giao dịch trong luận án được hiểu theo khung pháp lý hiện hành tại thời điểm hoàn thiện luận án  (Quốc hội, 2023a; Quốc hội, 2023b; Quốc hội, 2024; Quốc hội, 2024a).</w:t>
      </w:r>
    </w:p>
    <w:p w:rsidR="00764EB5" w:rsidRDefault="00DF13CC" w:rsidP="00021C6B">
      <w:pPr>
        <w:spacing w:line="353" w:lineRule="auto"/>
        <w:rPr>
          <w:color w:val="auto"/>
        </w:rPr>
      </w:pPr>
      <w:r>
        <w:rPr>
          <w:color w:val="auto"/>
        </w:rPr>
        <w:t>Trong khung pháp lý hiện hành, quyền sở hữu và giao dịch căn hộ được xác định theo từng nhóm chủ thể, loại nhà ở, điều kiện của dự án và điều kiện đưa bất động sản vào kinh doanh. Các quy định này làm cho tính pháp lý và mức độ minh bạch thông tin trở thành những nội dung người mua phải đánh giá trong quá trình hình thành giá trị cảm nhận và mức độ sẵn sàng giao dịch; luận án vì vậy xem pháp lý như một thuộc tính của đối tượng mua chứ không suy diễn thành một biến độc lập nếu chưa được mô hình hóa riêng (Quốc hội, 2023a; Quốc hội, 2023b)</w:t>
      </w:r>
    </w:p>
    <w:p w:rsidR="00764EB5" w:rsidRDefault="00DF13CC" w:rsidP="00021C6B">
      <w:pPr>
        <w:spacing w:line="353" w:lineRule="auto"/>
        <w:rPr>
          <w:color w:val="auto"/>
        </w:rPr>
      </w:pPr>
      <w:r>
        <w:rPr>
          <w:color w:val="auto"/>
        </w:rPr>
        <w:t xml:space="preserve">Từ góc độ nghiên cứu hành vi khách hành vi khách hàng thì khách hàng mua căn hộ chung cư không chỉ là chủ thể thực hiện giao dịch mà còn là người ra quyết định trong một quá trình có mức độ tham gia cao, giá trị tài chính lớn và nhiều nguồn thông tin cần xử lý. Các mô hình hành vi tiêu dùng cho thấy người mua thường trải qua các giai đoạn nhận diện nhu cầu, tìm kiếm thông tin, đánh giá phương án và hình thành quyết định; đối với nhà ở, quá trình này còn chịu tác động </w:t>
      </w:r>
      <w:r>
        <w:rPr>
          <w:color w:val="auto"/>
        </w:rPr>
        <w:lastRenderedPageBreak/>
        <w:t>của gia đình, rủi ro cảm nhận và điều kiện tài chính (Kotler and Keller, 2016; Schiffman and Wisenblit, 2019; Levy et al., 2008).</w:t>
      </w:r>
    </w:p>
    <w:p w:rsidR="00764EB5" w:rsidRDefault="00DF13CC" w:rsidP="00021C6B">
      <w:pPr>
        <w:pStyle w:val="Heading4"/>
      </w:pPr>
      <w:bookmarkStart w:id="200" w:name="_Toc238480592"/>
      <w:r>
        <w:t>2.1.2.2. Phân loại khách hàng mua căn hộ chung cư</w:t>
      </w:r>
      <w:bookmarkEnd w:id="200"/>
    </w:p>
    <w:p w:rsidR="00764EB5" w:rsidRDefault="00DF13CC" w:rsidP="003D6B28">
      <w:pPr>
        <w:spacing w:line="348" w:lineRule="auto"/>
        <w:rPr>
          <w:b/>
          <w:bCs/>
          <w:color w:val="auto"/>
        </w:rPr>
      </w:pPr>
      <w:r>
        <w:rPr>
          <w:b/>
          <w:bCs/>
          <w:color w:val="auto"/>
        </w:rPr>
        <w:t xml:space="preserve"> (1) Theo mục đích mua</w:t>
      </w:r>
    </w:p>
    <w:p w:rsidR="00764EB5" w:rsidRDefault="00DF13CC" w:rsidP="003D6B28">
      <w:pPr>
        <w:numPr>
          <w:ilvl w:val="0"/>
          <w:numId w:val="2"/>
        </w:numPr>
        <w:spacing w:line="348" w:lineRule="auto"/>
        <w:rPr>
          <w:color w:val="auto"/>
        </w:rPr>
      </w:pPr>
      <w:r>
        <w:rPr>
          <w:color w:val="auto"/>
        </w:rPr>
        <w:t>Khách hàng mua để ở (Owner-occupiers): Nhóm khách hàng có nhu cầu thực về nhà ở, thường quan tâm đến yếu tố tiện ích, vị trí, môi trường sống và pháp lý dự án.</w:t>
      </w:r>
    </w:p>
    <w:p w:rsidR="00764EB5" w:rsidRDefault="00DF13CC" w:rsidP="003D6B28">
      <w:pPr>
        <w:numPr>
          <w:ilvl w:val="0"/>
          <w:numId w:val="2"/>
        </w:numPr>
        <w:spacing w:line="348" w:lineRule="auto"/>
        <w:rPr>
          <w:color w:val="auto"/>
        </w:rPr>
      </w:pPr>
      <w:r>
        <w:rPr>
          <w:color w:val="auto"/>
        </w:rPr>
        <w:t>Khách hàng mua để đầu tư (Investors): Nhóm này chú trọng đến khả năng sinh lời, thanh khoản, tiềm năng tăng giá và cho thuê.</w:t>
      </w:r>
    </w:p>
    <w:p w:rsidR="00764EB5" w:rsidRDefault="00DF13CC" w:rsidP="003D6B28">
      <w:pPr>
        <w:numPr>
          <w:ilvl w:val="0"/>
          <w:numId w:val="2"/>
        </w:numPr>
        <w:spacing w:line="348" w:lineRule="auto"/>
        <w:rPr>
          <w:color w:val="auto"/>
        </w:rPr>
      </w:pPr>
      <w:r>
        <w:rPr>
          <w:color w:val="auto"/>
        </w:rPr>
        <w:t>Khách hàng kết hợp (Hybrid buyers): Vừa phục vụ nhu cầu ở vừa hướng đến mục tiêu đầu tư trong dài hạn.</w:t>
      </w:r>
    </w:p>
    <w:p w:rsidR="00764EB5" w:rsidRDefault="00DF13CC" w:rsidP="003D6B28">
      <w:pPr>
        <w:spacing w:line="348" w:lineRule="auto"/>
        <w:rPr>
          <w:color w:val="auto"/>
        </w:rPr>
      </w:pPr>
      <w:r>
        <w:rPr>
          <w:color w:val="auto"/>
        </w:rPr>
        <w:t>Luận án này không thiết kế kiểm định đa nhóm theo mục đích mua, nên phân loại trên chỉ được sử dụng để mô tả đối tượng, không dùng để suy luận khác biệt thống kê giữa các nhóm.</w:t>
      </w:r>
    </w:p>
    <w:p w:rsidR="00764EB5" w:rsidRDefault="00DF13CC" w:rsidP="003D6B28">
      <w:pPr>
        <w:spacing w:line="348" w:lineRule="auto"/>
        <w:rPr>
          <w:b/>
          <w:bCs/>
          <w:color w:val="auto"/>
        </w:rPr>
      </w:pPr>
      <w:r>
        <w:rPr>
          <w:b/>
          <w:bCs/>
          <w:color w:val="auto"/>
        </w:rPr>
        <w:t>(2) Theo đặc điểm nhân khẩu học</w:t>
      </w:r>
    </w:p>
    <w:p w:rsidR="00764EB5" w:rsidRDefault="00DF13CC" w:rsidP="003D6B28">
      <w:pPr>
        <w:numPr>
          <w:ilvl w:val="0"/>
          <w:numId w:val="3"/>
        </w:numPr>
        <w:spacing w:line="348" w:lineRule="auto"/>
        <w:rPr>
          <w:color w:val="auto"/>
        </w:rPr>
      </w:pPr>
      <w:r>
        <w:rPr>
          <w:color w:val="auto"/>
        </w:rPr>
        <w:t>Cá nhân độc thân</w:t>
      </w:r>
    </w:p>
    <w:p w:rsidR="00764EB5" w:rsidRDefault="00DF13CC" w:rsidP="003D6B28">
      <w:pPr>
        <w:numPr>
          <w:ilvl w:val="0"/>
          <w:numId w:val="3"/>
        </w:numPr>
        <w:spacing w:line="348" w:lineRule="auto"/>
        <w:rPr>
          <w:color w:val="auto"/>
        </w:rPr>
      </w:pPr>
      <w:r>
        <w:rPr>
          <w:color w:val="auto"/>
        </w:rPr>
        <w:t>Hộ gia đình trẻ</w:t>
      </w:r>
    </w:p>
    <w:p w:rsidR="00764EB5" w:rsidRDefault="00DF13CC" w:rsidP="003D6B28">
      <w:pPr>
        <w:numPr>
          <w:ilvl w:val="0"/>
          <w:numId w:val="3"/>
        </w:numPr>
        <w:spacing w:line="348" w:lineRule="auto"/>
        <w:rPr>
          <w:color w:val="auto"/>
        </w:rPr>
      </w:pPr>
      <w:r>
        <w:rPr>
          <w:color w:val="auto"/>
        </w:rPr>
        <w:t>Hộ gia đình trung niên</w:t>
      </w:r>
    </w:p>
    <w:p w:rsidR="00764EB5" w:rsidRDefault="00DF13CC" w:rsidP="003D6B28">
      <w:pPr>
        <w:numPr>
          <w:ilvl w:val="0"/>
          <w:numId w:val="3"/>
        </w:numPr>
        <w:spacing w:line="348" w:lineRule="auto"/>
        <w:rPr>
          <w:color w:val="auto"/>
        </w:rPr>
      </w:pPr>
      <w:r>
        <w:rPr>
          <w:color w:val="auto"/>
        </w:rPr>
        <w:t>Người nước ngoài hoặc Việt kiều</w:t>
      </w:r>
    </w:p>
    <w:p w:rsidR="00764EB5" w:rsidRDefault="00DF13CC" w:rsidP="003D6B28">
      <w:pPr>
        <w:spacing w:line="348" w:lineRule="auto"/>
        <w:rPr>
          <w:color w:val="auto"/>
        </w:rPr>
      </w:pPr>
      <w:r>
        <w:rPr>
          <w:color w:val="auto"/>
        </w:rPr>
        <w:t>Mỗi nhóm nhân khẩu học có thể có nhu cầu và hệ tiêu chí lựa chọn khác nhau theo giai đoạn vòng đời hộ gia đình, nguồn lực và loại căn hộ mong muốn; vì vậy nhân khẩu học được sử dụng chủ yếu để mô tả cấu trúc mẫu và hỗ trợ diễn giải kết quả, không được xem là biến giải thích chính trong mô hình (Jansen, Coolen &amp; Goetgeluk, 2011; Sundrani, 2018).</w:t>
      </w:r>
    </w:p>
    <w:p w:rsidR="00764EB5" w:rsidRDefault="00DF13CC" w:rsidP="003D6B28">
      <w:pPr>
        <w:spacing w:line="348" w:lineRule="auto"/>
        <w:rPr>
          <w:b/>
          <w:bCs/>
          <w:color w:val="auto"/>
        </w:rPr>
      </w:pPr>
      <w:r>
        <w:rPr>
          <w:b/>
          <w:bCs/>
          <w:color w:val="auto"/>
        </w:rPr>
        <w:t>(3) Theo năng lực tài chính</w:t>
      </w:r>
    </w:p>
    <w:p w:rsidR="00764EB5" w:rsidRPr="003D6B28" w:rsidRDefault="00DF13CC" w:rsidP="003D6B28">
      <w:pPr>
        <w:numPr>
          <w:ilvl w:val="0"/>
          <w:numId w:val="4"/>
        </w:numPr>
        <w:spacing w:line="348" w:lineRule="auto"/>
        <w:rPr>
          <w:color w:val="auto"/>
          <w:spacing w:val="-6"/>
        </w:rPr>
      </w:pPr>
      <w:r w:rsidRPr="003D6B28">
        <w:rPr>
          <w:color w:val="auto"/>
          <w:spacing w:val="-6"/>
        </w:rPr>
        <w:t>Khách hàng thu nhập thấp: Thường hướng đến nhà ở xã hội hoặc căn hộ giá rẻ</w:t>
      </w:r>
    </w:p>
    <w:p w:rsidR="00764EB5" w:rsidRDefault="00DF13CC" w:rsidP="003D6B28">
      <w:pPr>
        <w:numPr>
          <w:ilvl w:val="0"/>
          <w:numId w:val="4"/>
        </w:numPr>
        <w:spacing w:line="348" w:lineRule="auto"/>
        <w:rPr>
          <w:color w:val="auto"/>
        </w:rPr>
      </w:pPr>
      <w:r>
        <w:rPr>
          <w:color w:val="auto"/>
        </w:rPr>
        <w:t>Khách hàng thu nhập trung bình: Lựa chọn căn hộ trung cấp</w:t>
      </w:r>
    </w:p>
    <w:p w:rsidR="00764EB5" w:rsidRDefault="00DF13CC" w:rsidP="003D6B28">
      <w:pPr>
        <w:numPr>
          <w:ilvl w:val="0"/>
          <w:numId w:val="4"/>
        </w:numPr>
        <w:spacing w:line="348" w:lineRule="auto"/>
        <w:rPr>
          <w:color w:val="auto"/>
        </w:rPr>
      </w:pPr>
      <w:r>
        <w:rPr>
          <w:color w:val="auto"/>
        </w:rPr>
        <w:t>Khách hàng thu nhập cao: Ưu tiên căn hộ cao cấp hoặc hạng sang</w:t>
      </w:r>
    </w:p>
    <w:p w:rsidR="00764EB5" w:rsidRDefault="00DF13CC" w:rsidP="00296D82">
      <w:pPr>
        <w:spacing w:line="336" w:lineRule="auto"/>
        <w:rPr>
          <w:color w:val="auto"/>
        </w:rPr>
      </w:pPr>
      <w:r>
        <w:rPr>
          <w:color w:val="auto"/>
        </w:rPr>
        <w:t xml:space="preserve">Năng lực tài chính ảnh hưởng đến khả năng tiếp cận từng phân khúc căn hộ và mức độ người mua cảm nhận rằng họ có thể thực hiện giao dịch. Trong các nghiên cứu TPB mở rộng về nhà ở, khả năng tiếp cận nguồn tiền và nhận thức kiểm soát </w:t>
      </w:r>
      <w:r>
        <w:rPr>
          <w:color w:val="auto"/>
        </w:rPr>
        <w:lastRenderedPageBreak/>
        <w:t>hành vi là những nội dung có liên hệ với ý định mua (Islam et al., 2022; Pham Dinh et al., 2022; Trần Xuân Lượng, 2021).</w:t>
      </w:r>
    </w:p>
    <w:p w:rsidR="00764EB5" w:rsidRDefault="00DF13CC" w:rsidP="00296D82">
      <w:pPr>
        <w:spacing w:line="336" w:lineRule="auto"/>
        <w:rPr>
          <w:b/>
          <w:bCs/>
          <w:color w:val="auto"/>
        </w:rPr>
      </w:pPr>
      <w:r>
        <w:rPr>
          <w:b/>
          <w:bCs/>
          <w:color w:val="auto"/>
        </w:rPr>
        <w:t>(4) Theo mức độ tham gia thị trường</w:t>
      </w:r>
    </w:p>
    <w:p w:rsidR="00764EB5" w:rsidRPr="003D6B28" w:rsidRDefault="00DF13CC" w:rsidP="00296D82">
      <w:pPr>
        <w:spacing w:line="336" w:lineRule="auto"/>
        <w:ind w:firstLine="360"/>
        <w:rPr>
          <w:spacing w:val="-6"/>
        </w:rPr>
      </w:pPr>
      <w:r w:rsidRPr="003D6B28">
        <w:rPr>
          <w:color w:val="auto"/>
          <w:spacing w:val="-6"/>
        </w:rPr>
        <w:t>-Khách hàng lần đầu mua chung cư: L</w:t>
      </w:r>
      <w:r w:rsidRPr="003D6B28">
        <w:rPr>
          <w:spacing w:val="-6"/>
        </w:rPr>
        <w:t>à những người lần đầu tiên mua căn hộ chung cư để ở hoặc tích lũy tài sản</w:t>
      </w:r>
      <w:r w:rsidRPr="003D6B28">
        <w:rPr>
          <w:color w:val="auto"/>
          <w:spacing w:val="-6"/>
        </w:rPr>
        <w:t xml:space="preserve"> Đây</w:t>
      </w:r>
      <w:r w:rsidRPr="003D6B28">
        <w:rPr>
          <w:rFonts w:ascii="Arial" w:hAnsi="Arial" w:cs="Arial"/>
          <w:spacing w:val="-6"/>
        </w:rPr>
        <w:t xml:space="preserve"> </w:t>
      </w:r>
      <w:r w:rsidRPr="003D6B28">
        <w:rPr>
          <w:spacing w:val="-6"/>
        </w:rPr>
        <w:t>là những người mua bất động sản cho chính mình</w:t>
      </w:r>
    </w:p>
    <w:p w:rsidR="00764EB5" w:rsidRDefault="00DF13CC" w:rsidP="00296D82">
      <w:pPr>
        <w:spacing w:line="336" w:lineRule="auto"/>
        <w:ind w:firstLine="360"/>
        <w:rPr>
          <w:color w:val="auto"/>
        </w:rPr>
      </w:pPr>
      <w:r>
        <w:rPr>
          <w:color w:val="auto"/>
        </w:rPr>
        <w:t>-Khách hàng mua lại chung cư: L</w:t>
      </w:r>
      <w:r>
        <w:t>à người mua lại căn hộ chung cư từ chủ cũ trước đó mà không dược mua trực tiếp từ chủ đầu tư dự án</w:t>
      </w:r>
    </w:p>
    <w:p w:rsidR="00764EB5" w:rsidRDefault="00DF13CC" w:rsidP="00296D82">
      <w:pPr>
        <w:spacing w:line="336" w:lineRule="auto"/>
        <w:ind w:firstLine="360"/>
        <w:rPr>
          <w:color w:val="auto"/>
        </w:rPr>
      </w:pPr>
      <w:r>
        <w:rPr>
          <w:color w:val="auto"/>
        </w:rPr>
        <w:t>-Nhà đầu tư chuyên nghiệp  chung cư:  L</w:t>
      </w:r>
      <w:r>
        <w:t xml:space="preserve">à cá nhân hoặc tổ chức có tiềm lực kinh tế, có hiểu biết, có kinh nghiệm  về thị trường bất động sản nhát là can hộ chung cư. Họ đầu tư  qua việc  mua bán, cho thuê can hộ chung  cư. </w:t>
      </w:r>
      <w:r>
        <w:rPr>
          <w:color w:val="auto"/>
        </w:rPr>
        <w:t>Nhóm khách hàng này có kinh nghiệm và mức độ hiểu biết cao hơn về thị trường nen hành vi ra quyết định cũng mang tính lý trí hơn.</w:t>
      </w:r>
    </w:p>
    <w:p w:rsidR="00764EB5" w:rsidRDefault="00DF13CC" w:rsidP="00021C6B">
      <w:pPr>
        <w:pStyle w:val="DMB"/>
        <w:outlineLvl w:val="0"/>
      </w:pPr>
      <w:bookmarkStart w:id="201" w:name="__RefHeading___Toc7831_1147916741"/>
      <w:bookmarkStart w:id="202" w:name="_Toc241064353"/>
      <w:bookmarkStart w:id="203" w:name="_Toc241065497"/>
      <w:bookmarkStart w:id="204" w:name="_Toc226534651"/>
      <w:bookmarkStart w:id="205" w:name="_Toc238482013"/>
      <w:bookmarkEnd w:id="201"/>
      <w:r>
        <w:t>Bảng 2.1. So sánh các nhóm khách hàng mua căn hộ chung cư</w:t>
      </w:r>
      <w:r w:rsidR="002E378C">
        <w:fldChar w:fldCharType="begin"/>
      </w:r>
      <w:r w:rsidR="002E378C">
        <w:instrText xml:space="preserve"> SEQ Bảng_2. \* ARABIC </w:instrText>
      </w:r>
      <w:r w:rsidR="002E378C">
        <w:fldChar w:fldCharType="separate"/>
      </w:r>
      <w:r w:rsidR="00783A1B">
        <w:rPr>
          <w:noProof/>
        </w:rPr>
        <w:t>1</w:t>
      </w:r>
      <w:bookmarkEnd w:id="202"/>
      <w:bookmarkEnd w:id="203"/>
      <w:r w:rsidR="002E378C">
        <w:rPr>
          <w:noProof/>
        </w:rPr>
        <w:fldChar w:fldCharType="end"/>
      </w:r>
      <w:bookmarkEnd w:id="204"/>
      <w:bookmarkEnd w:id="205"/>
    </w:p>
    <w:tbl>
      <w:tblPr>
        <w:tblW w:w="9406" w:type="dxa"/>
        <w:tblLayout w:type="fixed"/>
        <w:tblLook w:val="04A0" w:firstRow="1" w:lastRow="0" w:firstColumn="1" w:lastColumn="0" w:noHBand="0" w:noVBand="1"/>
      </w:tblPr>
      <w:tblGrid>
        <w:gridCol w:w="1504"/>
        <w:gridCol w:w="1865"/>
        <w:gridCol w:w="2461"/>
        <w:gridCol w:w="3576"/>
      </w:tblGrid>
      <w:tr w:rsidR="00764EB5" w:rsidTr="00296D82">
        <w:trPr>
          <w:trHeight w:val="686"/>
        </w:trPr>
        <w:tc>
          <w:tcPr>
            <w:tcW w:w="1504"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96D82">
            <w:pPr>
              <w:spacing w:line="312" w:lineRule="auto"/>
              <w:ind w:firstLine="0"/>
              <w:jc w:val="center"/>
              <w:rPr>
                <w:b/>
                <w:bCs/>
                <w:color w:val="auto"/>
              </w:rPr>
            </w:pPr>
            <w:r>
              <w:rPr>
                <w:b/>
                <w:bCs/>
                <w:color w:val="auto"/>
              </w:rPr>
              <w:t>Tiêu chí phân loại</w:t>
            </w:r>
          </w:p>
        </w:tc>
        <w:tc>
          <w:tcPr>
            <w:tcW w:w="1865"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96D82">
            <w:pPr>
              <w:spacing w:line="312" w:lineRule="auto"/>
              <w:ind w:firstLine="0"/>
              <w:jc w:val="center"/>
              <w:rPr>
                <w:b/>
                <w:bCs/>
                <w:color w:val="auto"/>
              </w:rPr>
            </w:pPr>
            <w:r>
              <w:rPr>
                <w:b/>
                <w:bCs/>
                <w:color w:val="auto"/>
              </w:rPr>
              <w:t>Nhóm khách hàng</w:t>
            </w:r>
          </w:p>
        </w:tc>
        <w:tc>
          <w:tcPr>
            <w:tcW w:w="2461"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96D82">
            <w:pPr>
              <w:spacing w:line="312" w:lineRule="auto"/>
              <w:ind w:firstLine="0"/>
              <w:jc w:val="center"/>
              <w:rPr>
                <w:b/>
                <w:bCs/>
                <w:color w:val="auto"/>
              </w:rPr>
            </w:pPr>
            <w:r>
              <w:rPr>
                <w:b/>
                <w:bCs/>
                <w:color w:val="auto"/>
              </w:rPr>
              <w:t>Đặc điểm chính</w:t>
            </w:r>
          </w:p>
        </w:tc>
        <w:tc>
          <w:tcPr>
            <w:tcW w:w="3576"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96D82">
            <w:pPr>
              <w:spacing w:line="312" w:lineRule="auto"/>
              <w:ind w:firstLine="0"/>
              <w:jc w:val="center"/>
              <w:rPr>
                <w:b/>
                <w:bCs/>
                <w:color w:val="auto"/>
              </w:rPr>
            </w:pPr>
            <w:r>
              <w:rPr>
                <w:b/>
                <w:bCs/>
                <w:color w:val="auto"/>
              </w:rPr>
              <w:t>Tiêu chí lựa chọn ưu tiên</w:t>
            </w:r>
          </w:p>
        </w:tc>
      </w:tr>
      <w:tr w:rsidR="00764EB5" w:rsidTr="00296D82">
        <w:trPr>
          <w:trHeight w:val="380"/>
        </w:trPr>
        <w:tc>
          <w:tcPr>
            <w:tcW w:w="1504"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Mục đích mua</w:t>
            </w:r>
          </w:p>
        </w:tc>
        <w:tc>
          <w:tcPr>
            <w:tcW w:w="1865"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Mua để ở</w:t>
            </w:r>
          </w:p>
        </w:tc>
        <w:tc>
          <w:tcPr>
            <w:tcW w:w="24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Nhu cầu thực</w:t>
            </w:r>
          </w:p>
        </w:tc>
        <w:tc>
          <w:tcPr>
            <w:tcW w:w="35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Vị trí, tiện ích, pháp lý</w:t>
            </w:r>
          </w:p>
        </w:tc>
      </w:tr>
      <w:tr w:rsidR="00764EB5" w:rsidTr="00296D82">
        <w:tc>
          <w:tcPr>
            <w:tcW w:w="1504" w:type="dxa"/>
            <w:tcBorders>
              <w:top w:val="single" w:sz="4" w:space="0" w:color="000000"/>
              <w:left w:val="single" w:sz="4" w:space="0" w:color="000000"/>
              <w:bottom w:val="single" w:sz="4" w:space="0" w:color="000000"/>
              <w:right w:val="single" w:sz="4" w:space="0" w:color="000000"/>
            </w:tcBorders>
          </w:tcPr>
          <w:p w:rsidR="00764EB5" w:rsidRDefault="00764EB5" w:rsidP="00296D82">
            <w:pPr>
              <w:spacing w:line="312" w:lineRule="auto"/>
              <w:ind w:firstLine="0"/>
              <w:jc w:val="center"/>
              <w:rPr>
                <w:color w:val="auto"/>
              </w:rPr>
            </w:pPr>
          </w:p>
        </w:tc>
        <w:tc>
          <w:tcPr>
            <w:tcW w:w="1865"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Mua để đầu tư</w:t>
            </w:r>
          </w:p>
        </w:tc>
        <w:tc>
          <w:tcPr>
            <w:tcW w:w="24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Tìm kiếm lợi nhuận</w:t>
            </w:r>
          </w:p>
        </w:tc>
        <w:tc>
          <w:tcPr>
            <w:tcW w:w="35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Giá trị gia tăng, thanh khoản</w:t>
            </w:r>
          </w:p>
        </w:tc>
      </w:tr>
      <w:tr w:rsidR="00764EB5" w:rsidTr="00296D82">
        <w:tc>
          <w:tcPr>
            <w:tcW w:w="1504" w:type="dxa"/>
            <w:tcBorders>
              <w:top w:val="single" w:sz="4" w:space="0" w:color="000000"/>
              <w:left w:val="single" w:sz="4" w:space="0" w:color="000000"/>
              <w:bottom w:val="single" w:sz="4" w:space="0" w:color="000000"/>
              <w:right w:val="single" w:sz="4" w:space="0" w:color="000000"/>
            </w:tcBorders>
          </w:tcPr>
          <w:p w:rsidR="00764EB5" w:rsidRDefault="00764EB5" w:rsidP="00296D82">
            <w:pPr>
              <w:spacing w:line="312" w:lineRule="auto"/>
              <w:ind w:firstLine="0"/>
              <w:jc w:val="center"/>
              <w:rPr>
                <w:color w:val="auto"/>
              </w:rPr>
            </w:pPr>
          </w:p>
        </w:tc>
        <w:tc>
          <w:tcPr>
            <w:tcW w:w="1865"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Kết hợp</w:t>
            </w:r>
          </w:p>
        </w:tc>
        <w:tc>
          <w:tcPr>
            <w:tcW w:w="24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Vừa ở vừa đầu tư</w:t>
            </w:r>
          </w:p>
        </w:tc>
        <w:tc>
          <w:tcPr>
            <w:tcW w:w="35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Cân bằng giữa tiện ích và giá trị</w:t>
            </w:r>
          </w:p>
        </w:tc>
      </w:tr>
      <w:tr w:rsidR="00764EB5" w:rsidTr="00296D82">
        <w:tc>
          <w:tcPr>
            <w:tcW w:w="1504"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Nhân khẩu học</w:t>
            </w:r>
          </w:p>
        </w:tc>
        <w:tc>
          <w:tcPr>
            <w:tcW w:w="1865"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Cá nhân</w:t>
            </w:r>
          </w:p>
        </w:tc>
        <w:tc>
          <w:tcPr>
            <w:tcW w:w="24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Quy mô nhỏ</w:t>
            </w:r>
          </w:p>
        </w:tc>
        <w:tc>
          <w:tcPr>
            <w:tcW w:w="35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Giá cả, tiện ích cơ bản</w:t>
            </w:r>
          </w:p>
        </w:tc>
      </w:tr>
      <w:tr w:rsidR="00764EB5" w:rsidTr="00296D82">
        <w:tc>
          <w:tcPr>
            <w:tcW w:w="1504" w:type="dxa"/>
            <w:tcBorders>
              <w:top w:val="single" w:sz="4" w:space="0" w:color="000000"/>
              <w:left w:val="single" w:sz="4" w:space="0" w:color="000000"/>
              <w:bottom w:val="single" w:sz="4" w:space="0" w:color="000000"/>
              <w:right w:val="single" w:sz="4" w:space="0" w:color="000000"/>
            </w:tcBorders>
          </w:tcPr>
          <w:p w:rsidR="00764EB5" w:rsidRDefault="00764EB5" w:rsidP="00296D82">
            <w:pPr>
              <w:spacing w:line="312" w:lineRule="auto"/>
              <w:ind w:firstLine="0"/>
              <w:jc w:val="center"/>
              <w:rPr>
                <w:color w:val="auto"/>
              </w:rPr>
            </w:pPr>
          </w:p>
        </w:tc>
        <w:tc>
          <w:tcPr>
            <w:tcW w:w="1865"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Hộ gia đình</w:t>
            </w:r>
          </w:p>
        </w:tc>
        <w:tc>
          <w:tcPr>
            <w:tcW w:w="24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Nhu cầu ổn định</w:t>
            </w:r>
          </w:p>
        </w:tc>
        <w:tc>
          <w:tcPr>
            <w:tcW w:w="35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Diện tích, môi trường sống</w:t>
            </w:r>
          </w:p>
        </w:tc>
      </w:tr>
      <w:tr w:rsidR="00764EB5" w:rsidTr="00296D82">
        <w:tc>
          <w:tcPr>
            <w:tcW w:w="1504" w:type="dxa"/>
            <w:tcBorders>
              <w:top w:val="single" w:sz="4" w:space="0" w:color="000000"/>
              <w:left w:val="single" w:sz="4" w:space="0" w:color="000000"/>
              <w:bottom w:val="single" w:sz="4" w:space="0" w:color="000000"/>
              <w:right w:val="single" w:sz="4" w:space="0" w:color="000000"/>
            </w:tcBorders>
          </w:tcPr>
          <w:p w:rsidR="00764EB5" w:rsidRDefault="00764EB5" w:rsidP="00296D82">
            <w:pPr>
              <w:spacing w:line="312" w:lineRule="auto"/>
              <w:ind w:firstLine="0"/>
              <w:jc w:val="center"/>
              <w:rPr>
                <w:color w:val="auto"/>
              </w:rPr>
            </w:pPr>
          </w:p>
        </w:tc>
        <w:tc>
          <w:tcPr>
            <w:tcW w:w="1865"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Người nước ngoài</w:t>
            </w:r>
          </w:p>
        </w:tc>
        <w:tc>
          <w:tcPr>
            <w:tcW w:w="24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Đầu tư/ở</w:t>
            </w:r>
          </w:p>
        </w:tc>
        <w:tc>
          <w:tcPr>
            <w:tcW w:w="35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Pháp lý, vị trí trung tâm</w:t>
            </w:r>
          </w:p>
        </w:tc>
      </w:tr>
      <w:tr w:rsidR="00764EB5" w:rsidTr="00296D82">
        <w:tc>
          <w:tcPr>
            <w:tcW w:w="1504"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Tài chính</w:t>
            </w:r>
          </w:p>
        </w:tc>
        <w:tc>
          <w:tcPr>
            <w:tcW w:w="1865"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Thu nhập thấp</w:t>
            </w:r>
          </w:p>
        </w:tc>
        <w:tc>
          <w:tcPr>
            <w:tcW w:w="24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Hạn chế tài chính</w:t>
            </w:r>
          </w:p>
        </w:tc>
        <w:tc>
          <w:tcPr>
            <w:tcW w:w="35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Giá rẻ, hỗ trợ vay</w:t>
            </w:r>
          </w:p>
        </w:tc>
      </w:tr>
      <w:tr w:rsidR="00764EB5" w:rsidTr="00296D82">
        <w:tc>
          <w:tcPr>
            <w:tcW w:w="1504" w:type="dxa"/>
            <w:tcBorders>
              <w:top w:val="single" w:sz="4" w:space="0" w:color="000000"/>
              <w:left w:val="single" w:sz="4" w:space="0" w:color="000000"/>
              <w:bottom w:val="single" w:sz="4" w:space="0" w:color="000000"/>
              <w:right w:val="single" w:sz="4" w:space="0" w:color="000000"/>
            </w:tcBorders>
          </w:tcPr>
          <w:p w:rsidR="00764EB5" w:rsidRDefault="00764EB5" w:rsidP="00296D82">
            <w:pPr>
              <w:spacing w:line="312" w:lineRule="auto"/>
              <w:ind w:firstLine="0"/>
              <w:jc w:val="center"/>
              <w:rPr>
                <w:color w:val="auto"/>
              </w:rPr>
            </w:pPr>
          </w:p>
        </w:tc>
        <w:tc>
          <w:tcPr>
            <w:tcW w:w="1865"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Trung bình</w:t>
            </w:r>
          </w:p>
        </w:tc>
        <w:tc>
          <w:tcPr>
            <w:tcW w:w="24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Cân đối tài chính</w:t>
            </w:r>
          </w:p>
        </w:tc>
        <w:tc>
          <w:tcPr>
            <w:tcW w:w="35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Giá trị/chi phí</w:t>
            </w:r>
          </w:p>
        </w:tc>
      </w:tr>
      <w:tr w:rsidR="00764EB5" w:rsidTr="00296D82">
        <w:tc>
          <w:tcPr>
            <w:tcW w:w="1504" w:type="dxa"/>
            <w:tcBorders>
              <w:top w:val="single" w:sz="4" w:space="0" w:color="000000"/>
              <w:left w:val="single" w:sz="4" w:space="0" w:color="000000"/>
              <w:bottom w:val="single" w:sz="4" w:space="0" w:color="000000"/>
              <w:right w:val="single" w:sz="4" w:space="0" w:color="000000"/>
            </w:tcBorders>
          </w:tcPr>
          <w:p w:rsidR="00764EB5" w:rsidRDefault="00764EB5" w:rsidP="00296D82">
            <w:pPr>
              <w:spacing w:line="312" w:lineRule="auto"/>
              <w:ind w:firstLine="0"/>
              <w:jc w:val="center"/>
              <w:rPr>
                <w:color w:val="auto"/>
              </w:rPr>
            </w:pPr>
          </w:p>
        </w:tc>
        <w:tc>
          <w:tcPr>
            <w:tcW w:w="1865"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Cao</w:t>
            </w:r>
          </w:p>
        </w:tc>
        <w:tc>
          <w:tcPr>
            <w:tcW w:w="24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Khả năng chi trả cao</w:t>
            </w:r>
          </w:p>
        </w:tc>
        <w:tc>
          <w:tcPr>
            <w:tcW w:w="35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Chất lượng, thương hiệu</w:t>
            </w:r>
          </w:p>
        </w:tc>
      </w:tr>
      <w:tr w:rsidR="00764EB5" w:rsidTr="00296D82">
        <w:tc>
          <w:tcPr>
            <w:tcW w:w="1504"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Kinh nghiệm</w:t>
            </w:r>
          </w:p>
        </w:tc>
        <w:tc>
          <w:tcPr>
            <w:tcW w:w="1865"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Lần đầu mua</w:t>
            </w:r>
          </w:p>
        </w:tc>
        <w:tc>
          <w:tcPr>
            <w:tcW w:w="24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Thiếu kinh nghiệm</w:t>
            </w:r>
          </w:p>
        </w:tc>
        <w:tc>
          <w:tcPr>
            <w:tcW w:w="35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Thông tin, tư vấn</w:t>
            </w:r>
          </w:p>
        </w:tc>
      </w:tr>
      <w:tr w:rsidR="00764EB5" w:rsidTr="00296D82">
        <w:tc>
          <w:tcPr>
            <w:tcW w:w="1504" w:type="dxa"/>
            <w:tcBorders>
              <w:top w:val="single" w:sz="4" w:space="0" w:color="000000"/>
              <w:left w:val="single" w:sz="4" w:space="0" w:color="000000"/>
              <w:bottom w:val="single" w:sz="4" w:space="0" w:color="000000"/>
              <w:right w:val="single" w:sz="4" w:space="0" w:color="000000"/>
            </w:tcBorders>
          </w:tcPr>
          <w:p w:rsidR="00764EB5" w:rsidRDefault="00764EB5" w:rsidP="00296D82">
            <w:pPr>
              <w:spacing w:line="312" w:lineRule="auto"/>
              <w:ind w:firstLine="0"/>
              <w:jc w:val="center"/>
              <w:rPr>
                <w:color w:val="auto"/>
              </w:rPr>
            </w:pPr>
          </w:p>
        </w:tc>
        <w:tc>
          <w:tcPr>
            <w:tcW w:w="1865"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Mua lại</w:t>
            </w:r>
          </w:p>
        </w:tc>
        <w:tc>
          <w:tcPr>
            <w:tcW w:w="24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Có kinh nghiệm</w:t>
            </w:r>
          </w:p>
        </w:tc>
        <w:tc>
          <w:tcPr>
            <w:tcW w:w="35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So sánh, tối ưu giá</w:t>
            </w:r>
          </w:p>
        </w:tc>
      </w:tr>
      <w:tr w:rsidR="00764EB5" w:rsidTr="00296D82">
        <w:tc>
          <w:tcPr>
            <w:tcW w:w="1504" w:type="dxa"/>
            <w:tcBorders>
              <w:top w:val="single" w:sz="4" w:space="0" w:color="000000"/>
              <w:left w:val="single" w:sz="4" w:space="0" w:color="000000"/>
              <w:bottom w:val="single" w:sz="4" w:space="0" w:color="000000"/>
              <w:right w:val="single" w:sz="4" w:space="0" w:color="000000"/>
            </w:tcBorders>
          </w:tcPr>
          <w:p w:rsidR="00764EB5" w:rsidRDefault="00764EB5" w:rsidP="00296D82">
            <w:pPr>
              <w:spacing w:line="312" w:lineRule="auto"/>
              <w:ind w:firstLine="0"/>
              <w:jc w:val="center"/>
              <w:rPr>
                <w:color w:val="auto"/>
              </w:rPr>
            </w:pPr>
          </w:p>
        </w:tc>
        <w:tc>
          <w:tcPr>
            <w:tcW w:w="1865"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Chuyên nghiệp</w:t>
            </w:r>
          </w:p>
        </w:tc>
        <w:tc>
          <w:tcPr>
            <w:tcW w:w="24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Hiểu thị trường</w:t>
            </w:r>
          </w:p>
        </w:tc>
        <w:tc>
          <w:tcPr>
            <w:tcW w:w="35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left"/>
              <w:rPr>
                <w:color w:val="auto"/>
              </w:rPr>
            </w:pPr>
            <w:r>
              <w:rPr>
                <w:color w:val="auto"/>
              </w:rPr>
              <w:t>Lợi nhuận, xu hướng</w:t>
            </w:r>
          </w:p>
        </w:tc>
      </w:tr>
    </w:tbl>
    <w:p w:rsidR="00764EB5" w:rsidRDefault="00DF13CC" w:rsidP="003D6B28">
      <w:pPr>
        <w:jc w:val="right"/>
        <w:rPr>
          <w:i/>
          <w:iCs/>
          <w:color w:val="auto"/>
        </w:rPr>
      </w:pPr>
      <w:r>
        <w:rPr>
          <w:i/>
          <w:iCs/>
          <w:color w:val="auto"/>
        </w:rPr>
        <w:t>(Nguồn: tác giả tổng hợp từ nhiều nguồn)</w:t>
      </w:r>
    </w:p>
    <w:p w:rsidR="00764EB5" w:rsidRDefault="00DF13CC" w:rsidP="00021C6B">
      <w:pPr>
        <w:pStyle w:val="Heading3"/>
      </w:pPr>
      <w:bookmarkStart w:id="206" w:name="_Toc241062434"/>
      <w:bookmarkStart w:id="207" w:name="_Toc241064354"/>
      <w:bookmarkStart w:id="208" w:name="_Toc241065287"/>
      <w:bookmarkStart w:id="209" w:name="_Toc241065498"/>
      <w:r>
        <w:lastRenderedPageBreak/>
        <w:t>2.1.3. Hành vi tiêu dùng</w:t>
      </w:r>
      <w:bookmarkEnd w:id="206"/>
      <w:bookmarkEnd w:id="207"/>
      <w:bookmarkEnd w:id="208"/>
      <w:bookmarkEnd w:id="209"/>
    </w:p>
    <w:p w:rsidR="00764EB5" w:rsidRDefault="00DF13CC" w:rsidP="00021C6B">
      <w:pPr>
        <w:pStyle w:val="Heading4"/>
      </w:pPr>
      <w:r>
        <w:t xml:space="preserve">2.1.3.1. Khái niệm </w:t>
      </w:r>
    </w:p>
    <w:p w:rsidR="00764EB5" w:rsidRDefault="00DF13CC" w:rsidP="00296D82">
      <w:pPr>
        <w:spacing w:line="353" w:lineRule="auto"/>
        <w:rPr>
          <w:color w:val="auto"/>
        </w:rPr>
      </w:pPr>
      <w:r>
        <w:rPr>
          <w:color w:val="auto"/>
        </w:rPr>
        <w:t>Trong lĩnh vực Marketing, hành vi tiêu dùng được hiểu là toàn bộ các hoạt động liên quan đến việc lựa chọn, mua, sử dụng và đánh giá sản phẩm hoặc dịch vụ nhằm thỏa mãn nhu cầu của cá nhân hoặc tổ chức. Theo Philip Kotler and Keller (2016), hành vi tiêu dùng bao gồm các quá trình tâm lý và hành vi mà người tiêu dùng trải qua trước, trong và sau khi thực hiện hành vi mua.</w:t>
      </w:r>
    </w:p>
    <w:p w:rsidR="00764EB5" w:rsidRPr="00296D82" w:rsidRDefault="00DF13CC" w:rsidP="00296D82">
      <w:pPr>
        <w:spacing w:line="353" w:lineRule="auto"/>
        <w:rPr>
          <w:color w:val="auto"/>
          <w:spacing w:val="-4"/>
        </w:rPr>
      </w:pPr>
      <w:r w:rsidRPr="00296D82">
        <w:rPr>
          <w:color w:val="auto"/>
          <w:spacing w:val="-4"/>
        </w:rPr>
        <w:t>Tương tự, Schiffman and Wisenblit (2019) cho rằng hành vi tiêu dùng không chỉ là hành động mua mà còn bao gồm quá trình ra quyết định, chịu ảnh hưởng bởi các yếu tố cá nhân , xã hội và môi trường. Điều này cho thấy hành vi tiêu dùng là một hiện tượng đa chiều, mang tính động và chịu tác động của nhiều yếu tố tương tác.</w:t>
      </w:r>
    </w:p>
    <w:p w:rsidR="00764EB5" w:rsidRDefault="00DF13CC" w:rsidP="00296D82">
      <w:pPr>
        <w:spacing w:line="353" w:lineRule="auto"/>
        <w:rPr>
          <w:color w:val="auto"/>
        </w:rPr>
      </w:pPr>
      <w:r>
        <w:rPr>
          <w:color w:val="auto"/>
        </w:rPr>
        <w:t>Trong bối cảnh nghiên cứu này, khái niệm hành vi tiêu dùng được điều chỉnh thành hành vi khách hàng mua căn hộ chung cư, phản ánh quá trình ra quyết định phức tạp liên quan đến một loại tài sản có giá trị lớn, tính rủi ro cao và thời gian sử dụng dài hạn.</w:t>
      </w:r>
    </w:p>
    <w:p w:rsidR="00764EB5" w:rsidRDefault="00DF13CC" w:rsidP="00021C6B">
      <w:pPr>
        <w:pStyle w:val="Heading4"/>
      </w:pPr>
      <w:r>
        <w:t>2.1.3.2. Đặc điểm hành vi mua bất động sản</w:t>
      </w:r>
    </w:p>
    <w:p w:rsidR="00764EB5" w:rsidRDefault="00DF13CC" w:rsidP="00296D82">
      <w:pPr>
        <w:spacing w:line="353" w:lineRule="auto"/>
        <w:rPr>
          <w:color w:val="auto"/>
        </w:rPr>
      </w:pPr>
      <w:r>
        <w:rPr>
          <w:color w:val="auto"/>
        </w:rPr>
        <w:t>Hành vi mua bất động sản, đặc biệt là căn hộ chung cư, có những đặc điểm riêng biệt so với hành vi tiêu dùng hàng hóa thông thường.</w:t>
      </w:r>
    </w:p>
    <w:p w:rsidR="00764EB5" w:rsidRDefault="00DF13CC" w:rsidP="00296D82">
      <w:pPr>
        <w:spacing w:line="353" w:lineRule="auto"/>
        <w:rPr>
          <w:color w:val="auto"/>
        </w:rPr>
      </w:pPr>
      <w:r>
        <w:rPr>
          <w:i/>
          <w:iCs/>
          <w:color w:val="auto"/>
        </w:rPr>
        <w:t>Thứ nhất</w:t>
      </w:r>
      <w:r>
        <w:rPr>
          <w:color w:val="auto"/>
        </w:rPr>
        <w:t>, đây là quyết định có giá trị lớn và mang tính dài hạn. Việc mua căn hộ thường gắn với nguồn lực tài chính đáng kể, khiến khách hàng có xu hướng tìm kiếm thông tin, so sánh phương án và cân nhắc rủi ro kỹ hơn so với nhiều hàng hóa tiêu dùng thông thường (Kotler and Keller, 2016; Schiffman et al., 2019; Koklič, 2011).</w:t>
      </w:r>
    </w:p>
    <w:p w:rsidR="00764EB5" w:rsidRDefault="00DF13CC" w:rsidP="00296D82">
      <w:pPr>
        <w:spacing w:line="353" w:lineRule="auto"/>
        <w:rPr>
          <w:color w:val="auto"/>
        </w:rPr>
      </w:pPr>
      <w:r>
        <w:rPr>
          <w:i/>
          <w:iCs/>
          <w:color w:val="auto"/>
        </w:rPr>
        <w:t>Thứ hai</w:t>
      </w:r>
      <w:r>
        <w:rPr>
          <w:color w:val="auto"/>
        </w:rPr>
        <w:t>, hành vi mua căn hộ chung cư mang tính rủi ro cao, bao gồm rủi ro tài chính, rủi ro pháp lý và rủi ro về chất lượng dự án. Điều này làm gia tăng vai trò của các yếu tố như uy tín chủ đầu tư, tính minh bạch pháp lý và thông tin thị trường trong quá trình ra quyết định.</w:t>
      </w:r>
    </w:p>
    <w:p w:rsidR="00764EB5" w:rsidRDefault="00DF13CC" w:rsidP="00296D82">
      <w:pPr>
        <w:spacing w:line="353" w:lineRule="auto"/>
        <w:rPr>
          <w:color w:val="auto"/>
        </w:rPr>
      </w:pPr>
      <w:r>
        <w:rPr>
          <w:i/>
          <w:iCs/>
          <w:color w:val="auto"/>
        </w:rPr>
        <w:t>Thứ ba,</w:t>
      </w:r>
      <w:r>
        <w:rPr>
          <w:color w:val="auto"/>
        </w:rPr>
        <w:t xml:space="preserve"> đây là quyết định mang tính tập thể, thường liên quan đến nhiều thành viên trong gia đình. Theo Levy et al.(2008), quyết định mua nhà không chỉ là lựa chọn cá nhân mà còn là kết quả của quá trình trao đổi, thương lượng giữa các thành viên trong hộ gia đình.</w:t>
      </w:r>
    </w:p>
    <w:p w:rsidR="00764EB5" w:rsidRDefault="00DF13CC" w:rsidP="00296D82">
      <w:pPr>
        <w:spacing w:line="353" w:lineRule="auto"/>
        <w:rPr>
          <w:color w:val="auto"/>
        </w:rPr>
      </w:pPr>
      <w:r>
        <w:rPr>
          <w:i/>
          <w:iCs/>
          <w:color w:val="auto"/>
        </w:rPr>
        <w:lastRenderedPageBreak/>
        <w:t>Thứ tư,</w:t>
      </w:r>
      <w:r>
        <w:rPr>
          <w:color w:val="auto"/>
        </w:rPr>
        <w:t xml:space="preserve"> hành vi mua bất động sản chịu ảnh hưởng mạnh từ yếu tố cảm xúc và văn hóa. Bên cạnh các yếu tố lý trí như giá cả và vị trí, khách hàng còn bị tác động bởi các yếu tố như cảm nhận về không gian sống, yếu tố phong thủy và hình ảnh xã hội gắn với bất động sản (Tan and Goh, 2018).</w:t>
      </w:r>
    </w:p>
    <w:p w:rsidR="00764EB5" w:rsidRPr="00296D82" w:rsidRDefault="00DF13CC" w:rsidP="00296D82">
      <w:pPr>
        <w:spacing w:line="353" w:lineRule="auto"/>
        <w:rPr>
          <w:color w:val="auto"/>
          <w:spacing w:val="-4"/>
        </w:rPr>
      </w:pPr>
      <w:r w:rsidRPr="00296D82">
        <w:rPr>
          <w:i/>
          <w:iCs/>
          <w:color w:val="auto"/>
          <w:spacing w:val="-4"/>
        </w:rPr>
        <w:t>Thứ năm</w:t>
      </w:r>
      <w:r w:rsidRPr="00296D82">
        <w:rPr>
          <w:color w:val="auto"/>
          <w:spacing w:val="-4"/>
        </w:rPr>
        <w:t>, hành vi này mang tính không thường xuyên và có độ trễ cao, do khách hàng không thường xuyên mua bất động sản, đồng thời thời gian từ khi hình thành nhu cầu đến khi ra quyết định có thể kéo dài nhiều tháng hoặc thậm chí nhiều năm.</w:t>
      </w:r>
    </w:p>
    <w:p w:rsidR="00764EB5" w:rsidRDefault="00DF13CC" w:rsidP="00021C6B">
      <w:pPr>
        <w:pStyle w:val="Heading3"/>
      </w:pPr>
      <w:bookmarkStart w:id="210" w:name="_Toc241062435"/>
      <w:bookmarkStart w:id="211" w:name="_Toc241064355"/>
      <w:bookmarkStart w:id="212" w:name="_Toc241065288"/>
      <w:bookmarkStart w:id="213" w:name="_Toc241065499"/>
      <w:r>
        <w:t>2.1.4. Quyết định mua  căn hộ chung cư</w:t>
      </w:r>
      <w:bookmarkEnd w:id="210"/>
      <w:bookmarkEnd w:id="211"/>
      <w:bookmarkEnd w:id="212"/>
      <w:bookmarkEnd w:id="213"/>
    </w:p>
    <w:p w:rsidR="00764EB5" w:rsidRDefault="00DF13CC" w:rsidP="00296D82">
      <w:pPr>
        <w:spacing w:line="353" w:lineRule="auto"/>
        <w:ind w:firstLine="0"/>
        <w:rPr>
          <w:i/>
          <w:szCs w:val="26"/>
        </w:rPr>
      </w:pPr>
      <w:r>
        <w:rPr>
          <w:i/>
          <w:szCs w:val="26"/>
        </w:rPr>
        <w:t>2.1.4.1.Khái niệm</w:t>
      </w:r>
    </w:p>
    <w:p w:rsidR="00764EB5" w:rsidRDefault="00DF13CC" w:rsidP="00296D82">
      <w:pPr>
        <w:spacing w:line="353" w:lineRule="auto"/>
        <w:rPr>
          <w:color w:val="auto"/>
          <w:szCs w:val="26"/>
        </w:rPr>
      </w:pPr>
      <w:r>
        <w:rPr>
          <w:szCs w:val="26"/>
        </w:rPr>
        <w:t xml:space="preserve">Quyết định mua căn hộ chung cư là hành vi lựa chọn và cam kết tài chính của một cá nhân hoặc gia đình để có được một căn hộ chung cư trong một tòa nhà nhiều tầng. </w:t>
      </w:r>
      <w:r>
        <w:rPr>
          <w:color w:val="auto"/>
          <w:szCs w:val="26"/>
        </w:rPr>
        <w:t>Quyết định mua hàng hóa, sản phảm, dịch vụ cũng như mua can hộ chung cư đều dựa trên lý thuyết hành vi người  tiêu dùng căn hộ chung cư được chi phối bởi các nền tảng lý thuyết hành vi người tiêu dùng như đã trình bày ở phần trên. Nền tảng cho quyết định mua căn hộ chung cư cũng dựa trên nền tảng của các lý thuyết chung về quyets định mua</w:t>
      </w:r>
    </w:p>
    <w:p w:rsidR="00764EB5" w:rsidRDefault="00DF13CC" w:rsidP="00021C6B">
      <w:pPr>
        <w:pStyle w:val="Heading4"/>
      </w:pPr>
      <w:r>
        <w:t>2.1.4.2. Các giai đoạn trong quá trình ra quyết định mua</w:t>
      </w:r>
    </w:p>
    <w:p w:rsidR="00764EB5" w:rsidRDefault="00DF13CC" w:rsidP="00296D82">
      <w:pPr>
        <w:spacing w:line="353" w:lineRule="auto"/>
        <w:rPr>
          <w:color w:val="auto"/>
        </w:rPr>
      </w:pPr>
      <w:r>
        <w:rPr>
          <w:color w:val="auto"/>
        </w:rPr>
        <w:t xml:space="preserve">Quá trình ra quyết định mua của khách hàng mua căn hộ chung cư thường được mô tả qua một chuỗi các giai đoạn kế tiếp nhau. Theo mô hình hành vi tiêu dùng truyền thống của Kotler and Keller (2016), quá trình này gồm năm giai đoạn chính: Nhận diện nhu cầu; </w:t>
      </w:r>
      <w:r>
        <w:rPr>
          <w:bCs/>
          <w:color w:val="auto"/>
        </w:rPr>
        <w:t xml:space="preserve">Tìm kiếm thông tin; </w:t>
      </w:r>
      <w:r>
        <w:rPr>
          <w:bCs/>
          <w:color w:val="auto"/>
          <w:spacing w:val="-6"/>
        </w:rPr>
        <w:t xml:space="preserve">Đánh giá các phương án; </w:t>
      </w:r>
      <w:r>
        <w:rPr>
          <w:bCs/>
          <w:color w:val="auto"/>
        </w:rPr>
        <w:t xml:space="preserve">Quyết định mua; </w:t>
      </w:r>
      <w:r>
        <w:rPr>
          <w:color w:val="auto"/>
        </w:rPr>
        <w:t>Hành vi sau mua</w:t>
      </w:r>
    </w:p>
    <w:p w:rsidR="00764EB5" w:rsidRDefault="00DF13CC" w:rsidP="00296D82">
      <w:pPr>
        <w:spacing w:line="353" w:lineRule="auto"/>
        <w:rPr>
          <w:color w:val="auto"/>
        </w:rPr>
      </w:pPr>
      <w:r>
        <w:rPr>
          <w:color w:val="auto"/>
        </w:rPr>
        <w:t>Trong nghiên cứu hành vi người tiêu dùng, quyết định mua là kết quả của một tiến trình gồm nhận biết nhu cầu, tìm kiếm thông tin, đánh giá phương án, hình thành ý định và thực hiện hành động. Đối với căn hộ chung cư, tiến trình này thường kéo dài và chịu ràng buộc bởi khả năng tài chính, điều kiện tín dụng, tình trạng pháp lý của dự án và mức độ chấp nhận rủi ro.</w:t>
      </w:r>
    </w:p>
    <w:p w:rsidR="00764EB5" w:rsidRDefault="00DF13CC" w:rsidP="00296D82">
      <w:pPr>
        <w:spacing w:line="353" w:lineRule="auto"/>
        <w:rPr>
          <w:color w:val="auto"/>
        </w:rPr>
      </w:pPr>
      <w:r>
        <w:rPr>
          <w:color w:val="auto"/>
        </w:rPr>
        <w:t>Cần phân biệt ba khái niệm: Ý định mua phản ánh khuynh hướng và kế hoạch chủ quan; mức độ sẵn sàng ra quyết định mua phản ánh sự chuẩn bị và cam kết tiến gần đến hành động; hành vi mua thực tế là giao dịch đã được thực hiện. Ba khái niệm có liên hệ nhưng không đồng nhất, đặc biệt đối với sản phẩm có giá trị lớn.</w:t>
      </w:r>
    </w:p>
    <w:p w:rsidR="00764EB5" w:rsidRDefault="00DF13CC" w:rsidP="003D6B28">
      <w:pPr>
        <w:rPr>
          <w:color w:val="auto"/>
        </w:rPr>
      </w:pPr>
      <w:r>
        <w:rPr>
          <w:color w:val="auto"/>
        </w:rPr>
        <w:lastRenderedPageBreak/>
        <w:t>Trong luận án này, do mẫu khảo sát bao gồm cả người đã mua, đang cân nhắc và có nhu cầu trong tương lai, QDM được vận hành hóa là “mức độ sẵn sàng ra quyết định mua”. Thang đo phản ánh mức độ sẵn sàng thực hiện thủ tục, lựa chọn dự án, tiến hành giao dịch và duy trì quyết định. Vì vậy, kết quả liên quan đến QDM không được diễn giải như bằng chứng về hành vi mua đã hoàn tất.</w:t>
      </w:r>
    </w:p>
    <w:p w:rsidR="00764EB5" w:rsidRDefault="00DF13CC" w:rsidP="003D6B28">
      <w:pPr>
        <w:rPr>
          <w:color w:val="auto"/>
        </w:rPr>
      </w:pPr>
      <w:r>
        <w:rPr>
          <w:color w:val="auto"/>
        </w:rPr>
        <w:t>Cách xác định này bảo đảm sự phù hợp giữa đối tượng khảo sát, nội dung thang đo và phạm vi kết luận; đồng thời cho phép xem xét vai trò dự báo của Ý định mua đối với giai đoạn gần hành động hơn trong tiến trình mua căn hộ.</w:t>
      </w:r>
    </w:p>
    <w:p w:rsidR="00764EB5" w:rsidRDefault="00DF13CC" w:rsidP="007B644D">
      <w:pPr>
        <w:pStyle w:val="Heading2"/>
      </w:pPr>
      <w:bookmarkStart w:id="214" w:name="_Toc234224097"/>
      <w:bookmarkStart w:id="215" w:name="_Toc241062436"/>
      <w:bookmarkStart w:id="216" w:name="_Toc241064356"/>
      <w:bookmarkStart w:id="217" w:name="_Toc241065289"/>
      <w:bookmarkStart w:id="218" w:name="_Toc241065500"/>
      <w:r>
        <w:t>2.2. Các lý thuyết nền tảng</w:t>
      </w:r>
      <w:bookmarkEnd w:id="214"/>
      <w:bookmarkEnd w:id="215"/>
      <w:bookmarkEnd w:id="216"/>
      <w:bookmarkEnd w:id="217"/>
      <w:bookmarkEnd w:id="218"/>
    </w:p>
    <w:p w:rsidR="00764EB5" w:rsidRDefault="00DF13CC" w:rsidP="00021C6B">
      <w:pPr>
        <w:pStyle w:val="Heading3"/>
      </w:pPr>
      <w:bookmarkStart w:id="219" w:name="_Toc241062437"/>
      <w:bookmarkStart w:id="220" w:name="_Toc241064357"/>
      <w:bookmarkStart w:id="221" w:name="_Toc241065290"/>
      <w:bookmarkStart w:id="222" w:name="_Toc241065501"/>
      <w:bookmarkStart w:id="223" w:name="_Toc234224098"/>
      <w:r>
        <w:t>2.2.1. Lý thuyết hành vi dự định</w:t>
      </w:r>
      <w:bookmarkEnd w:id="219"/>
      <w:bookmarkEnd w:id="220"/>
      <w:bookmarkEnd w:id="221"/>
      <w:bookmarkEnd w:id="222"/>
      <w:r>
        <w:t xml:space="preserve"> </w:t>
      </w:r>
      <w:bookmarkEnd w:id="223"/>
    </w:p>
    <w:p w:rsidR="00764EB5" w:rsidRDefault="00DF13CC" w:rsidP="003D6B28">
      <w:pPr>
        <w:rPr>
          <w:color w:val="auto"/>
        </w:rPr>
      </w:pPr>
      <w:r>
        <w:rPr>
          <w:color w:val="auto"/>
        </w:rPr>
        <w:t>Lý thuyết hành vi dự định (Theory of Planned Behavior-TPB) được đề xuất bởi Icek Ajzen (1991), là một trong những lý thuyết nền tảng quan trọng trong nghiên cứu hành vi khách hàng. Lý thuyết hành vi dự định được phát triển từ Lý thuyết hành động hợp lý (Theory of Reasoned Action – TRA), với mục tiêu giải thích và dự đoán hành vi của con người trong các tình huống có sự kiểm soát không hoàn toàn.</w:t>
      </w:r>
    </w:p>
    <w:p w:rsidR="00764EB5" w:rsidRPr="00296D82" w:rsidRDefault="00DF13CC" w:rsidP="003D6B28">
      <w:pPr>
        <w:rPr>
          <w:color w:val="auto"/>
          <w:spacing w:val="-2"/>
        </w:rPr>
      </w:pPr>
      <w:r w:rsidRPr="00296D82">
        <w:rPr>
          <w:color w:val="auto"/>
          <w:spacing w:val="-2"/>
        </w:rPr>
        <w:t>Theo TPB, hành vi của một cá nhân được quyết định trực tiếp bởi ý định thực hiện hành vi. Ý định hành vi chịu ảnh hưởng bởi ba yếu tố chính: thái độ đối với hành vi, chuẩn chủ quan và nhận thức kiểm soát hành vi.So với mô hình lý thuyết TRA, TPB bổ sung thêm yếu tố nhận thức kiểm soát hành vi nhằm giải thích các hành vi mà cá nhân không hoàn toàn kiểm soát được. Mô hình TPB gồm 3 cấu phần là</w:t>
      </w:r>
      <w:r w:rsidR="00296D82">
        <w:rPr>
          <w:color w:val="auto"/>
          <w:spacing w:val="-2"/>
        </w:rPr>
        <w:t>.</w:t>
      </w:r>
      <w:r w:rsidRPr="00296D82">
        <w:rPr>
          <w:color w:val="auto"/>
          <w:spacing w:val="-2"/>
        </w:rPr>
        <w:t xml:space="preserve"> </w:t>
      </w:r>
    </w:p>
    <w:p w:rsidR="00764EB5" w:rsidRDefault="00DF13CC" w:rsidP="003D6B28">
      <w:pPr>
        <w:rPr>
          <w:color w:val="auto"/>
        </w:rPr>
      </w:pPr>
      <w:r>
        <w:rPr>
          <w:color w:val="auto"/>
        </w:rPr>
        <w:t>-Thái độ đối với hành vi: Phản ánh mức độ đánh giá của cá nhân đối với việc thực hiện một hành vi. Cách tiếp cận này phù hợp với lý thuyết thái độ trong tâm lý xã hội và TPB (Eagly and Chaiken, 1993; Ajzen, 1991). Trong bối cảnh mua căn hộ chung cư, thái độ của khách hàng được hình thành từ niềm tin và đánh giá về lợi ích, chi phí và hệ quả của hành vi mua, chứ không đồng nhất với từng thuộc tính riêng lẻ của căn hộ. Thái độ tích cực sẽ làm gia tăng ý định mua, trong khi thái độ tiêu cực có thể làm giảm khả năng ra quyết định. Theo Ajzen (1991), thái độ được hình thành từ niềm tin hành vi và đánh giá kết quả của hành vi đó.</w:t>
      </w:r>
    </w:p>
    <w:p w:rsidR="00764EB5" w:rsidRDefault="00DF13CC" w:rsidP="003D6B28">
      <w:pPr>
        <w:rPr>
          <w:color w:val="auto"/>
        </w:rPr>
      </w:pPr>
      <w:r>
        <w:rPr>
          <w:color w:val="auto"/>
        </w:rPr>
        <w:lastRenderedPageBreak/>
        <w:t>- Chuẩn chủ quan: Thể hiện áp lực xã hội mà cá nhân cảm nhận được khi thực hiện hoặc không thực hiện một hành vi. Đây là yếu tố phản ánh ảnh hưởng của gia đình, bạn bè, đồng nghiệp hoặc các nhóm tham khảo đến quyết định của cá nhân. Trong bối cảnh mua căn hộ chung cư, chuẩn chủ quan đóng vai trò quan trọng do quyết định mua thường mang tính tập thể, đặc biệt trong văn hóa Á Đông. Ý kiến của người thân hoặc các chuẩn mực xã hội có thể thúc đẩy hoặc cản trở ý định mua của khách hàng.</w:t>
      </w:r>
    </w:p>
    <w:p w:rsidR="00764EB5" w:rsidRDefault="00DF13CC" w:rsidP="00021C6B">
      <w:pPr>
        <w:spacing w:line="353" w:lineRule="auto"/>
        <w:rPr>
          <w:color w:val="auto"/>
        </w:rPr>
      </w:pPr>
      <w:r>
        <w:rPr>
          <w:color w:val="auto"/>
        </w:rPr>
        <w:t>- Nhận thức kiểm soát hành vi: Nhận thức kiểm soát hành vi phản ánh mức độ mà cá nhân tin rằng họ có khả năng thực hiện hành vi, dựa trên các nguồn lực và điều kiện sẵn có. Yếu tố này bao gồm các khía cạnh như khả năng tài chính, khả năng tiếp cận tín dụng, thông tin thị trường và hiểu biết pháp lý.Trong nghiên cứu hành vi mua căn hộ chung cư, nhận thức kiểm soát hành vi đặc biệt quan trọng, bởi quyết định mua phụ thuộc nhiều vào khả năng chi trả và các điều kiện bên ngoài. Ajzen (1991) cho rằng yếu tố này không chỉ ảnh hưởng đến ý định mà còn có thể tác động trực tiếp đến mức độ sẵn sàng hành động.</w:t>
      </w:r>
    </w:p>
    <w:p w:rsidR="00764EB5" w:rsidRDefault="00DF13CC" w:rsidP="00021C6B">
      <w:pPr>
        <w:pStyle w:val="Heading4"/>
        <w:spacing w:line="353" w:lineRule="auto"/>
      </w:pPr>
      <w:r>
        <w:t xml:space="preserve"> Ý nghĩa của TPB trong nghiên cứu hành vi mua căn hộ chung cư:</w:t>
      </w:r>
    </w:p>
    <w:p w:rsidR="00764EB5" w:rsidRDefault="00DF13CC" w:rsidP="00021C6B">
      <w:pPr>
        <w:spacing w:line="353" w:lineRule="auto"/>
        <w:rPr>
          <w:color w:val="auto"/>
        </w:rPr>
      </w:pPr>
      <w:r>
        <w:rPr>
          <w:color w:val="auto"/>
        </w:rPr>
        <w:t>Thứ nhất, TPB cung cấp một khung lý thuyết rõ ràng và có khả năng dự báo cao, giúp phân tích mối quan hệ giữa nhận thức, ý định và hành vi. Điều này cho phép nghiên cứu không chỉ dừng lại ở việc mô tả hành vi mà còn giải thích cơ chế hình thành quyết định mua.</w:t>
      </w:r>
    </w:p>
    <w:p w:rsidR="00764EB5" w:rsidRDefault="00DF13CC" w:rsidP="00021C6B">
      <w:pPr>
        <w:spacing w:line="353" w:lineRule="auto"/>
        <w:rPr>
          <w:color w:val="auto"/>
        </w:rPr>
      </w:pPr>
      <w:r>
        <w:rPr>
          <w:color w:val="auto"/>
        </w:rPr>
        <w:t>Thứ hai, TPB phù hợp với đặc điểm của hành vi mua căn hộ chung cư – một hành vi có tính kế hoạch, cân nhắc và chịu ảnh hưởng bởi nhiều yếu tố bên ngoài. Đặc biệt, yếu tố nhận thức kiểm soát hành vi giúp giải thích vai trò của các rào cản như tài chính và pháp lý trong quyết định mua.</w:t>
      </w:r>
    </w:p>
    <w:p w:rsidR="00764EB5" w:rsidRDefault="00DF13CC" w:rsidP="00021C6B">
      <w:pPr>
        <w:spacing w:line="353" w:lineRule="auto"/>
        <w:rPr>
          <w:color w:val="auto"/>
        </w:rPr>
      </w:pPr>
      <w:r>
        <w:rPr>
          <w:color w:val="auto"/>
        </w:rPr>
        <w:t>Thứ ba, TPB là nền tảng để mở rộng mô hình nghiên cứu bằng cách tích hợp các biến đặc thù của thị trường bất động sản. Nhiều nghiên cứu đã bổ sung các yếu tố như pháp lý, uy tín chủ đầu tư, giá trị cảm nhận và yếu tố văn hóa nhằm nâng cao khả năng giải thích của mô hình (Islam et al., 2022).</w:t>
      </w:r>
    </w:p>
    <w:p w:rsidR="00764EB5" w:rsidRDefault="00DF13CC" w:rsidP="00021C6B">
      <w:pPr>
        <w:spacing w:line="353" w:lineRule="auto"/>
        <w:rPr>
          <w:color w:val="auto"/>
        </w:rPr>
      </w:pPr>
      <w:r>
        <w:rPr>
          <w:color w:val="auto"/>
        </w:rPr>
        <w:t xml:space="preserve">Thứ tư, trong bối cảnh Việt Nam, TPB có thể được điều chỉnh để phản ánh các đặc trưng văn hóa và thị trường, chẳng hạn như ảnh hưởng của gia đình, yếu tố phong thủy và mức độ minh bạch thông tin. Điều này làm cho TPB trở thành một </w:t>
      </w:r>
      <w:r>
        <w:rPr>
          <w:color w:val="auto"/>
        </w:rPr>
        <w:lastRenderedPageBreak/>
        <w:t>công cụ linh hoạt và phù hợp trong nghiên cứu hành vi khách hàng mua căn hộ chung cư tại khu vực Đông Nam Bộ.</w:t>
      </w:r>
    </w:p>
    <w:p w:rsidR="00764EB5" w:rsidRDefault="00DF13CC" w:rsidP="003D6B28">
      <w:pPr>
        <w:rPr>
          <w:color w:val="auto"/>
        </w:rPr>
      </w:pPr>
      <w:r>
        <w:rPr>
          <w:color w:val="auto"/>
        </w:rPr>
        <w:t>Về tiến trình phát triển lý thuyết, TPB kế thừa TRA và được hoàn thiện qua các công trình nền tảng của Fishbein and Ajzen (1975), Ajzen and Fishbein (1980), Ajzen (1985, 1991, 2002, 2020). Các tổng quan và mở rộng tiếp theo cho thấy thái độ, chuẩn chủ quan và nhận thức kiểm soát hành vi có khả năng giải thích ý định ở nhiều bối cảnh, song sức mạnh của từng cấu phần phụ thuộc loại hành vi và điều kiện thực hiện (Bagozzi, 1992; Conner and Armitage, 1998; Armitage and Conner, 2001). Vì vậy, luận án xem TPB là khung giải thích cốt lõi và chỉ bổ sung biến khi có cơ sở lý thuyết và thang đo phù hợp với hành vi mua căn hộ.</w:t>
      </w:r>
    </w:p>
    <w:p w:rsidR="00764EB5" w:rsidRDefault="00DF13CC" w:rsidP="00021C6B">
      <w:pPr>
        <w:pStyle w:val="Heading3"/>
      </w:pPr>
      <w:bookmarkStart w:id="224" w:name="_Toc234224099"/>
      <w:bookmarkStart w:id="225" w:name="_Toc241062438"/>
      <w:bookmarkStart w:id="226" w:name="_Toc241064358"/>
      <w:bookmarkStart w:id="227" w:name="_Toc241065291"/>
      <w:bookmarkStart w:id="228" w:name="_Toc241065502"/>
      <w:r>
        <w:t>2.2.2. Các lý thuyết liên quan bổ trợ</w:t>
      </w:r>
      <w:bookmarkEnd w:id="224"/>
      <w:bookmarkEnd w:id="225"/>
      <w:bookmarkEnd w:id="226"/>
      <w:bookmarkEnd w:id="227"/>
      <w:bookmarkEnd w:id="228"/>
    </w:p>
    <w:p w:rsidR="00764EB5" w:rsidRDefault="00DF13CC" w:rsidP="003D6B28">
      <w:pPr>
        <w:rPr>
          <w:color w:val="auto"/>
        </w:rPr>
      </w:pPr>
      <w:r>
        <w:rPr>
          <w:color w:val="auto"/>
        </w:rPr>
        <w:t xml:space="preserve">Bên cạnh Lý thuyết hành vi dự định TPB, việc nghiên cứu hành vi và ý định mua căn hộ chung cư đòi hỏi một cách tiếp cận đa lý thuyết nhằm phản ánh đầy đủ bản chất phức tạp của hành vi trong bối cảnh bất động sản. Các lý thuyết bổ trợ như lý thuyết hành vi tiêu dùng, lý thuyết giá trị cảm nhận, lý thuyết tín hiệu và lý thuyết văn hóa tiêu dùng không chỉ giúp mở rộng phạm vi giải thích của TPB mà còn làm rõ các cơ chế tâm lý, kinh tế và xã hội đặc thù ảnh hưởng đến quyết định mua căn hộ. Điều này đặc biệt có ý nghĩa trong bối cảnh khu vực Đông Nam Bộ – nơi thị trường căn hộ phát triển nhanh, cạnh tranh cao và chịu tác động mạnh từ quá trình đô thị hóa. Một số lý thuyết như: </w:t>
      </w:r>
    </w:p>
    <w:p w:rsidR="00764EB5" w:rsidRDefault="00DF13CC" w:rsidP="003D6B28">
      <w:pPr>
        <w:rPr>
          <w:color w:val="auto"/>
        </w:rPr>
      </w:pPr>
      <w:r>
        <w:t>- Lý thuyết hành vi tiêu dùng (Consumer Behavior Theory): L</w:t>
      </w:r>
      <w:r>
        <w:rPr>
          <w:color w:val="auto"/>
        </w:rPr>
        <w:t xml:space="preserve">à nền tảng quan trọng trong nghiên cứu marketing, tập trung vào việc giải thích cách thức cá nhân hoặc nhóm khách hàng nhận thức, đánh giá và lựa chọn sản phẩm/dịch vụ nhằm thỏa mãn nhu cầu. Theo Philip Kotler </w:t>
      </w:r>
      <w:r>
        <w:t>and</w:t>
      </w:r>
      <w:r>
        <w:rPr>
          <w:color w:val="auto"/>
        </w:rPr>
        <w:t xml:space="preserve"> Keller (2016), hành vi tiêu dùng được hình thành từ sự tương tác của bốn nhóm yếu tố chính: văn hóa, xã hội, cá nhân và tâm lý. Trong đó, các yếu tố này không tồn tại độc lập mà tác động lẫn nhau, tạo nên một hệ thống ảnh hưởng phức tạp đến hành vi mua.</w:t>
      </w:r>
      <w:r>
        <w:t xml:space="preserve"> </w:t>
      </w:r>
      <w:r>
        <w:rPr>
          <w:color w:val="auto"/>
        </w:rPr>
        <w:t xml:space="preserve">Lý thuyết hành vi tiêu dùng bổ trợ cho TPB ở việc làm rõ tiến trình ra quyết định và bối cảnh thông tin trước khi ý định được hình thành. Các mô hình hành vi người mua kinh điển của Howard and Sheth (1969) cùng các tổng hợp hiện đại của Kotler and Keller (2016) và Schiffman </w:t>
      </w:r>
      <w:r>
        <w:rPr>
          <w:color w:val="auto"/>
        </w:rPr>
        <w:lastRenderedPageBreak/>
        <w:t xml:space="preserve">and Wisenblit (2019) cho thấy người tiêu dùng trải qua các quá trình tiếp nhận </w:t>
      </w:r>
      <w:r w:rsidRPr="00296D82">
        <w:rPr>
          <w:color w:val="auto"/>
          <w:spacing w:val="-2"/>
        </w:rPr>
        <w:t>thông tin, đánh giá phương án và hình thành phản ứng mua. Đối với bất động sản, tiến trình này kéo dài hơn do giá trị giao dịch lớn, mức độ rủi ro cao và sự tham gia của nhiều thành viên gia đình (Levy et al., 2008). Trong ứng dụng vào hành vi mua căn hộ chung cư, lý thuyết hành vi tiêu dùng giúp giải thích tại sao khách hàng không chỉ dựa vào yếu tố giá cả mà còn cân nhắc các yếu tố như vị trí, tiện ích, môi trường sống và hình ảnh xã hội. Đặc biệt, tại khu vực Đông Nam Bộ – nơi có mật độ dân cư cao, tốc độ đô thị hóa nhanh và sự đa dạng về nhóm khách hàng – hành vi mua căn hộ chịu ảnh hưởng rõ rệt từ yếu tố xã hội (gia đình, đồng nghiệp) và đặc điểm cá nhân (thu nhập, nghề nghiệp). Do đó, lý thuyết này đóng vai trò như một nền tảng tổng thể giúp xác định các nhóm biến quan trọng trong mô hình nghiên cứu.</w:t>
      </w:r>
    </w:p>
    <w:p w:rsidR="00764EB5" w:rsidRDefault="00DF13CC" w:rsidP="003D6B28">
      <w:pPr>
        <w:rPr>
          <w:szCs w:val="28"/>
        </w:rPr>
      </w:pPr>
      <w:r>
        <w:t xml:space="preserve">- Lý thuyết giá trị cảm nhận (Perceived Value Theory): Lý thuyết  tập trung vào cách khách hàng đánh giá sản phẩm thông qua việc so sánh giữa lợi ích nhận được và chi phí bỏ ra. Theo Zeithaml (1988), giá trị cảm nhận là sự đánh giá tổng </w:t>
      </w:r>
      <w:r w:rsidRPr="00296D82">
        <w:rPr>
          <w:spacing w:val="-2"/>
        </w:rPr>
        <w:t xml:space="preserve">thể của khách hàng về tính hữu ích của sản phẩm dựa trên nhận thức về “những gì nhận được” và “những gì phải hy sinh”. Đây là một trong những lý thuyết quan trọng để giải thích hành vi lựa chọn sản phẩm trong môi trường cạnh tranh. Về nội dung, giá trị cảm nhận không chỉ giới hạn ở khía cạnh kinh tế mà có thể bao gồm giá trị chức năng, cảm xúc và xã hội. Quan điểm đa chiều về giá trị được phát triển trong các công trình của Holbrook (1999), Sheth et al.,1991) và Sweeney and Soutar (2001). Trong lĩnh vực nhà ở, Tan and Goh (2018) cho thấy các đánh giá tâm lý và giá trị có liên hệ với ý định mua nhà ở xanh. Vì vậy, luận án sử dụng giá trị cảm nhận như một đánh giá tổng hợp, đồng thời tránh suy diễn rằng từng thuộc tính thành phần đã được kiểm </w:t>
      </w:r>
      <w:r w:rsidRPr="00296D82">
        <w:rPr>
          <w:spacing w:val="-2"/>
          <w:szCs w:val="28"/>
        </w:rPr>
        <w:t xml:space="preserve">định độc lập. Trong bối cảnh căn hộ chung cư tại Đông Nam Bộ, nơi giá bất động sản liên tục biến động và sự cạnh tranh giữa các dự án ngày càng gay gắt, khách hàng có xu hướng đánh giá tổng hợp nhiều yếu tố để xác định “giá trị” của căn hộ. Ví dụ, một căn hộ có giá cao nhưng nằm ở vị trí trung tâm, có tiện ích đầy đủ và tiềm năng tăng giá vẫn có thể được đánh giá là có giá trị cao hơn so với căn hộ giá thấp nhưng thiếu tiện ích. Như vậy, lý thuyết giá trị cảm nhận giúp giải thích cơ chế </w:t>
      </w:r>
      <w:r w:rsidRPr="00296D82">
        <w:rPr>
          <w:spacing w:val="-2"/>
          <w:szCs w:val="28"/>
        </w:rPr>
        <w:lastRenderedPageBreak/>
        <w:t>hình thành thái độ của khách hàng trong TPB và là cơ sở quan trọng</w:t>
      </w:r>
      <w:r>
        <w:rPr>
          <w:szCs w:val="28"/>
        </w:rPr>
        <w:t xml:space="preserve"> để xây dựng các biến như vị trí, tiện ích và giá trong mô hình nghiên cứu. </w:t>
      </w:r>
    </w:p>
    <w:p w:rsidR="00296D82" w:rsidRDefault="00DF13CC" w:rsidP="00296D82">
      <w:r>
        <w:t>- Lý thuyết tín hiệu (Signaling Theory – uy tín chủ đầu tư): Lý thuyết , được đề xuất bởi Spence (1973), tập trung vào việc giải thích cách các bên trong thị trường sử dụng tín hiệu để giảm thiểu bất cân xứng thông tin. Trong nhiều thị trường, đặc biệt là bất động sản, người mua thường không có đầy đủ thông tin về chất lượng sản phẩm, dẫn đến rủi ro trong quyết định mua. Về nội dung, lý thuyết này cho rằng các tín hiệu đáng tin cậy (credible signals) như thương hiệu, uy tín hoặc chứng nhận có thể giúp người mua đánh giá chất lượng sản phẩm trong điều kiện thông tin không hoàn hảo. Trong lĩnh vực căn hộ chung cư, các tín hiệu quan trọng bao gồm uy tín chủ đầu tư, lịch sử triển khai dự án, tiến độ xây dựng và tính minh bạch pháp lý. Trong thị trường bất động sản, người mua thường khó quan sát đầy đủ chất lượng dự án trước khi giao dịch; vì vậy thương hiệu, lịch sử thực hiện, tiến độ và mức độ minh bạch có thể hoạt động như các tín hiệu giúp giảm bất cân xứng thông tin. Lý thuyết tín hiệu của Spence (1973) cung cấp nền tảng cho cách giải thích này; các nghiên cứu về ý định mua căn hộ tại Việt Nam cũng cho thấy thuộc tính dự án và thông tin thị trường có liên hệ với đánh giá và ý định mua (Pham Dinh et al., 2022; Phạm Đình Hân, 2023). Trong luận án, uy tín chủ đầu tư được dùng để diễn giải nội hàm Giá trị cảm nhận, không được kết luận là biến độc lập có tác động riêng.</w:t>
      </w:r>
    </w:p>
    <w:p w:rsidR="00764EB5" w:rsidRPr="00296D82" w:rsidRDefault="00DF13CC" w:rsidP="00296D82">
      <w:pPr>
        <w:rPr>
          <w:szCs w:val="28"/>
        </w:rPr>
      </w:pPr>
      <w:r w:rsidRPr="00296D82">
        <w:t xml:space="preserve">- Lý thuyết văn hóa tiêu dùng (Consumer Culture Theory): Lý thuyết văn hóa tiêu dùng (CCT) nhấn mạnh vai trò của văn hóa, biểu tượng và giá trị xã hội trong hành vi tiêu dùng. Theo Arnould and Thompson (2005), hành vi tiêu dùng không chỉ là hành động kinh tế mà còn là cách cá nhân thể hiện bản sắc, giá trị và vị thế trong xã hội.Về nội dung, CCT tập trung vào việc giải thích cách các yếu tố văn hóa, niềm tin và chuẩn mực xã hội ảnh hưởng đến nhận thức và hành vi tiêu dùng. Trong bối cảnh châu Á, đặc biệt là Việt Nam, các yếu tố văn hóa có ảnh hưởng mạnh đến quyết định mua nhà ở. Một biểu hiện văn hóa có thể được người mua cân nhắc là sự phù hợp về phong thủy, hướng và bố trí không gian. Theo cách tiếp cận CCT, các giá trị, biểu tượng và thực hành văn hóa có thể tham gia vào quá trình gán </w:t>
      </w:r>
      <w:r w:rsidRPr="00296D82">
        <w:lastRenderedPageBreak/>
        <w:t xml:space="preserve">ý nghĩa cho sản phẩm (Arnould  and Thompson, 2005). Trong luận án này, phong thủy chỉ là một chỉ báo thuộc thang đo Giá trị cảm nhận căn hộ; nghiên cứu không kiểm định tác động độc lập của phong thủy và do đó không suy rộng rằng phong thủy là yếu tố quyết định đối với mọi nhóm khách hàng. </w:t>
      </w:r>
      <w:r w:rsidRPr="00296D82">
        <w:rPr>
          <w:szCs w:val="28"/>
        </w:rPr>
        <w:t>Như vậy, lý thuyết văn hóa tiêu dùng giúp bổ sung chiều sâu cho mô hình nghiên cứu bằng cách giải thích các yếu tố mang tính cảm xúc và niềm tin, vốn không thể giải thích đầy đủ bằng các lý thuyết kinh tế truyền thống.</w:t>
      </w:r>
    </w:p>
    <w:p w:rsidR="00764EB5" w:rsidRDefault="00DF13CC" w:rsidP="00021C6B">
      <w:pPr>
        <w:pStyle w:val="DMB"/>
        <w:outlineLvl w:val="0"/>
      </w:pPr>
      <w:bookmarkStart w:id="229" w:name="__RefHeading___Toc7829_1147916741"/>
      <w:bookmarkStart w:id="230" w:name="_Toc226534654"/>
      <w:bookmarkStart w:id="231" w:name="_Toc238482014"/>
      <w:bookmarkStart w:id="232" w:name="_Toc241064359"/>
      <w:bookmarkStart w:id="233" w:name="_Toc241065503"/>
      <w:bookmarkEnd w:id="229"/>
      <w:r>
        <w:t>Bảng 2.</w:t>
      </w:r>
      <w:r w:rsidR="002E378C">
        <w:fldChar w:fldCharType="begin"/>
      </w:r>
      <w:r w:rsidR="002E378C">
        <w:instrText xml:space="preserve"> SEQ Bảng_2. \* ARABIC </w:instrText>
      </w:r>
      <w:r w:rsidR="002E378C">
        <w:fldChar w:fldCharType="separate"/>
      </w:r>
      <w:r w:rsidR="00783A1B">
        <w:rPr>
          <w:noProof/>
        </w:rPr>
        <w:t>2</w:t>
      </w:r>
      <w:r w:rsidR="002E378C">
        <w:rPr>
          <w:noProof/>
        </w:rPr>
        <w:fldChar w:fldCharType="end"/>
      </w:r>
      <w:r>
        <w:t>. So sánh các lý thuyết bổ trợ và đóng góp vào mô hình nghiên cứu</w:t>
      </w:r>
      <w:bookmarkEnd w:id="230"/>
      <w:bookmarkEnd w:id="231"/>
      <w:bookmarkEnd w:id="232"/>
      <w:bookmarkEnd w:id="233"/>
    </w:p>
    <w:tbl>
      <w:tblPr>
        <w:tblW w:w="8829" w:type="dxa"/>
        <w:tblLayout w:type="fixed"/>
        <w:tblLook w:val="04A0" w:firstRow="1" w:lastRow="0" w:firstColumn="1" w:lastColumn="0" w:noHBand="0" w:noVBand="1"/>
      </w:tblPr>
      <w:tblGrid>
        <w:gridCol w:w="1437"/>
        <w:gridCol w:w="1622"/>
        <w:gridCol w:w="1932"/>
        <w:gridCol w:w="2012"/>
        <w:gridCol w:w="1826"/>
      </w:tblGrid>
      <w:tr w:rsidR="00764EB5">
        <w:tc>
          <w:tcPr>
            <w:tcW w:w="1437"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96D82">
            <w:pPr>
              <w:spacing w:line="336" w:lineRule="auto"/>
              <w:ind w:firstLine="0"/>
              <w:jc w:val="center"/>
              <w:rPr>
                <w:b/>
                <w:bCs/>
                <w:color w:val="auto"/>
              </w:rPr>
            </w:pPr>
            <w:r>
              <w:rPr>
                <w:b/>
                <w:bCs/>
                <w:color w:val="auto"/>
              </w:rPr>
              <w:t>Lý thuyết</w:t>
            </w:r>
          </w:p>
        </w:tc>
        <w:tc>
          <w:tcPr>
            <w:tcW w:w="1622"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96D82">
            <w:pPr>
              <w:spacing w:line="336" w:lineRule="auto"/>
              <w:ind w:firstLine="0"/>
              <w:jc w:val="center"/>
              <w:rPr>
                <w:b/>
                <w:bCs/>
                <w:color w:val="auto"/>
              </w:rPr>
            </w:pPr>
            <w:r>
              <w:rPr>
                <w:b/>
                <w:bCs/>
                <w:color w:val="auto"/>
              </w:rPr>
              <w:t>Trọng tâm</w:t>
            </w:r>
          </w:p>
        </w:tc>
        <w:tc>
          <w:tcPr>
            <w:tcW w:w="1932"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96D82">
            <w:pPr>
              <w:spacing w:line="336" w:lineRule="auto"/>
              <w:ind w:firstLine="0"/>
              <w:jc w:val="center"/>
              <w:rPr>
                <w:b/>
                <w:bCs/>
                <w:color w:val="auto"/>
              </w:rPr>
            </w:pPr>
            <w:r>
              <w:rPr>
                <w:b/>
                <w:bCs/>
                <w:color w:val="auto"/>
              </w:rPr>
              <w:t>Điểm mạnh</w:t>
            </w:r>
          </w:p>
        </w:tc>
        <w:tc>
          <w:tcPr>
            <w:tcW w:w="2012"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96D82">
            <w:pPr>
              <w:spacing w:line="336" w:lineRule="auto"/>
              <w:ind w:firstLine="0"/>
              <w:jc w:val="center"/>
              <w:rPr>
                <w:b/>
                <w:bCs/>
                <w:color w:val="auto"/>
              </w:rPr>
            </w:pPr>
            <w:r>
              <w:rPr>
                <w:b/>
                <w:bCs/>
                <w:color w:val="auto"/>
              </w:rPr>
              <w:t>Hạn chế</w:t>
            </w:r>
          </w:p>
        </w:tc>
        <w:tc>
          <w:tcPr>
            <w:tcW w:w="1826"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96D82">
            <w:pPr>
              <w:spacing w:line="336" w:lineRule="auto"/>
              <w:ind w:firstLine="0"/>
              <w:jc w:val="center"/>
              <w:rPr>
                <w:b/>
                <w:bCs/>
                <w:color w:val="auto"/>
              </w:rPr>
            </w:pPr>
            <w:r>
              <w:rPr>
                <w:b/>
                <w:bCs/>
                <w:color w:val="auto"/>
              </w:rPr>
              <w:t>Đóng góp vào nghiên cứu</w:t>
            </w:r>
          </w:p>
        </w:tc>
      </w:tr>
      <w:tr w:rsidR="00764EB5">
        <w:tc>
          <w:tcPr>
            <w:tcW w:w="1437"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Hành vi tiêu dùng</w:t>
            </w:r>
          </w:p>
        </w:tc>
        <w:tc>
          <w:tcPr>
            <w:tcW w:w="162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Quá trình ra quyết định</w:t>
            </w:r>
          </w:p>
        </w:tc>
        <w:tc>
          <w:tcPr>
            <w:tcW w:w="193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Bao quát toàn diện hành vi</w:t>
            </w:r>
          </w:p>
        </w:tc>
        <w:tc>
          <w:tcPr>
            <w:tcW w:w="201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Thiếu cấu trúc nhân quả rõ</w:t>
            </w:r>
          </w:p>
        </w:tc>
        <w:tc>
          <w:tcPr>
            <w:tcW w:w="182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Nền tảng xác định yếu tố</w:t>
            </w:r>
          </w:p>
        </w:tc>
      </w:tr>
      <w:tr w:rsidR="00764EB5">
        <w:tc>
          <w:tcPr>
            <w:tcW w:w="1437"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Giá trị cảm nhận</w:t>
            </w:r>
          </w:p>
        </w:tc>
        <w:tc>
          <w:tcPr>
            <w:tcW w:w="162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Lợi ích – chi phí</w:t>
            </w:r>
          </w:p>
        </w:tc>
        <w:tc>
          <w:tcPr>
            <w:tcW w:w="193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Giải thích lựa chọn sản phẩm</w:t>
            </w:r>
          </w:p>
        </w:tc>
        <w:tc>
          <w:tcPr>
            <w:tcW w:w="201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Thiên về nhận thức cá nhân</w:t>
            </w:r>
          </w:p>
        </w:tc>
        <w:tc>
          <w:tcPr>
            <w:tcW w:w="182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Xây dựng biến thuộc tính</w:t>
            </w:r>
          </w:p>
        </w:tc>
      </w:tr>
      <w:tr w:rsidR="00764EB5">
        <w:tc>
          <w:tcPr>
            <w:tcW w:w="1437"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Tín hiệu</w:t>
            </w:r>
          </w:p>
        </w:tc>
        <w:tc>
          <w:tcPr>
            <w:tcW w:w="162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Bất cân xứng thông tin</w:t>
            </w:r>
          </w:p>
        </w:tc>
        <w:tc>
          <w:tcPr>
            <w:tcW w:w="193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Phù hợp thị trường rủi ro</w:t>
            </w:r>
          </w:p>
        </w:tc>
        <w:tc>
          <w:tcPr>
            <w:tcW w:w="201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Không giải thích toàn bộ hành vi</w:t>
            </w:r>
          </w:p>
        </w:tc>
        <w:tc>
          <w:tcPr>
            <w:tcW w:w="182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Giải thích uy tín chủ đầu tư</w:t>
            </w:r>
          </w:p>
        </w:tc>
      </w:tr>
      <w:tr w:rsidR="00764EB5">
        <w:tc>
          <w:tcPr>
            <w:tcW w:w="1437"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Văn hóa tiêu dùng</w:t>
            </w:r>
          </w:p>
        </w:tc>
        <w:tc>
          <w:tcPr>
            <w:tcW w:w="162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Giá trị văn hóa</w:t>
            </w:r>
          </w:p>
        </w:tc>
        <w:tc>
          <w:tcPr>
            <w:tcW w:w="193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Phản ánh đặc thù địa phương</w:t>
            </w:r>
          </w:p>
        </w:tc>
        <w:tc>
          <w:tcPr>
            <w:tcW w:w="201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Khó lượng hóa</w:t>
            </w:r>
          </w:p>
        </w:tc>
        <w:tc>
          <w:tcPr>
            <w:tcW w:w="182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color w:val="auto"/>
              </w:rPr>
            </w:pPr>
            <w:r>
              <w:rPr>
                <w:color w:val="auto"/>
              </w:rPr>
              <w:t>Giải thích phong thủy</w:t>
            </w:r>
          </w:p>
        </w:tc>
      </w:tr>
    </w:tbl>
    <w:p w:rsidR="00764EB5" w:rsidRDefault="00DF13CC" w:rsidP="003D6B28">
      <w:pPr>
        <w:jc w:val="right"/>
        <w:rPr>
          <w:i/>
          <w:iCs/>
          <w:color w:val="auto"/>
        </w:rPr>
      </w:pPr>
      <w:r>
        <w:rPr>
          <w:i/>
          <w:iCs/>
          <w:color w:val="auto"/>
        </w:rPr>
        <w:t>(Nguồn: Tác giả tổng hợp từ các nghiên cứu trong và ngoài nước)</w:t>
      </w:r>
    </w:p>
    <w:p w:rsidR="00764EB5" w:rsidRDefault="00DF13CC" w:rsidP="00021C6B">
      <w:pPr>
        <w:pStyle w:val="Heading3"/>
      </w:pPr>
      <w:bookmarkStart w:id="234" w:name="_Toc234224100"/>
      <w:bookmarkStart w:id="235" w:name="_Toc241062439"/>
      <w:bookmarkStart w:id="236" w:name="_Toc241064360"/>
      <w:bookmarkStart w:id="237" w:name="_Toc241065293"/>
      <w:bookmarkStart w:id="238" w:name="_Toc241065504"/>
      <w:r>
        <w:t>2.2.3. Mở rộng  TPB trong bối cảnh bất động sản</w:t>
      </w:r>
      <w:bookmarkEnd w:id="234"/>
      <w:bookmarkEnd w:id="235"/>
      <w:bookmarkEnd w:id="236"/>
      <w:bookmarkEnd w:id="237"/>
      <w:bookmarkEnd w:id="238"/>
    </w:p>
    <w:p w:rsidR="00764EB5" w:rsidRDefault="00DF13CC" w:rsidP="003D6B28">
      <w:pPr>
        <w:rPr>
          <w:color w:val="auto"/>
        </w:rPr>
      </w:pPr>
      <w:r>
        <w:rPr>
          <w:color w:val="auto"/>
        </w:rPr>
        <w:t xml:space="preserve">Lý thuyết hành vi dự dịnh được xem là một trong những khung lý thuyết có khả năng dự báo hành vi cao trong nghiên cứu marketing và hành vi người tiêu dùng. Tuy nhiên, khi áp dụng vào các quyết định phức tạp như mua căn hộ chung cư là loại loại tài sản có giá trị lớn, tính rủi ro cao và chịu ảnh hưởng mạnh từ bối cảnh thể chế thì  TPB truyền thống bộc lộ một số hạn chế nhất định như: </w:t>
      </w:r>
    </w:p>
    <w:p w:rsidR="00764EB5" w:rsidRDefault="00DF13CC" w:rsidP="003D6B28">
      <w:pPr>
        <w:rPr>
          <w:color w:val="auto"/>
        </w:rPr>
      </w:pPr>
      <w:r>
        <w:rPr>
          <w:color w:val="auto"/>
        </w:rPr>
        <w:t xml:space="preserve"> Chưa phản ánh đầy đủ các yếu tố bối cảnh như thể chế pháp lý, điều kiện thị trường và môi trường kinh tế; </w:t>
      </w:r>
    </w:p>
    <w:p w:rsidR="00764EB5" w:rsidRPr="00296D82" w:rsidRDefault="00DF13CC" w:rsidP="003D6B28">
      <w:pPr>
        <w:rPr>
          <w:color w:val="auto"/>
          <w:spacing w:val="-4"/>
        </w:rPr>
      </w:pPr>
      <w:r w:rsidRPr="00296D82">
        <w:rPr>
          <w:color w:val="auto"/>
          <w:spacing w:val="-4"/>
        </w:rPr>
        <w:t xml:space="preserve">Có xu hướng tập trung vào yếu tố tâm lý cá nhân, trong khi chưa xem xét đầy đủ vai trò của các yếu tố thuộc tính sản phẩm như vị trí, tiện ích hay chất lượng dự án; </w:t>
      </w:r>
    </w:p>
    <w:p w:rsidR="00764EB5" w:rsidRDefault="00DF13CC" w:rsidP="003D6B28">
      <w:pPr>
        <w:rPr>
          <w:color w:val="auto"/>
        </w:rPr>
      </w:pPr>
      <w:r>
        <w:rPr>
          <w:color w:val="auto"/>
        </w:rPr>
        <w:t xml:space="preserve">Chưa giải thích rõ vai trò của niềm tin và bất cân xứng thông tin, trong khi đây là yếu tố then chốt trong thị trường bất động sản; </w:t>
      </w:r>
    </w:p>
    <w:p w:rsidR="00764EB5" w:rsidRDefault="00DF13CC" w:rsidP="003D6B28">
      <w:pPr>
        <w:rPr>
          <w:color w:val="auto"/>
        </w:rPr>
      </w:pPr>
      <w:r>
        <w:rPr>
          <w:color w:val="auto"/>
        </w:rPr>
        <w:lastRenderedPageBreak/>
        <w:t xml:space="preserve">Lý thuyết hành vi dự định chưa tích hợp các yếu tố văn hóa đặc thù, chẳng hạn như phong thủy – một yếu tố có ảnh hưởng đáng kể đến hành vi mua nhà tại các quốc gia châu Á, bao gồm Việt Nam. </w:t>
      </w:r>
    </w:p>
    <w:p w:rsidR="00764EB5" w:rsidRDefault="00DF13CC" w:rsidP="003D6B28">
      <w:pPr>
        <w:rPr>
          <w:color w:val="auto"/>
        </w:rPr>
      </w:pPr>
      <w:r>
        <w:rPr>
          <w:color w:val="auto"/>
        </w:rPr>
        <w:t xml:space="preserve">Do đó, xu hướng mở rộng TPB bằng cách tích hợp các biến đặc thù của lĩnh vực bất động sản đã trở thành một hướng nghiên cứu phổ biến trên thế giới và ngày càng được quan tâm tại Việt Nam.Trong những năm gần đây, nhiều nghiên cứu quốc tế đã mở rộng TPB bằng cách tích hợp thêm các biến ngoại sinh nhằm cải thiện khả năng dự báo hành vi. </w:t>
      </w:r>
    </w:p>
    <w:p w:rsidR="00764EB5" w:rsidRDefault="00DF13CC" w:rsidP="003D6B28">
      <w:pPr>
        <w:rPr>
          <w:color w:val="auto"/>
        </w:rPr>
      </w:pPr>
      <w:r>
        <w:rPr>
          <w:color w:val="auto"/>
        </w:rPr>
        <w:t>Theo nghiên cứu của Islam et al. (2022), khi nghiên cứu ý định mua căn hộ tại Bangladesh, việc bổ sung các yếu tố như khả năng tiếp cận tài chính, chất lượng vật lý của căn hộ và chính sách hỗ trợ của Chính phủ đã giúp mô hình TPB giải thích tốt hơn hành vi mua.</w:t>
      </w:r>
    </w:p>
    <w:p w:rsidR="00764EB5" w:rsidRDefault="00DF13CC" w:rsidP="003D6B28">
      <w:pPr>
        <w:rPr>
          <w:color w:val="auto"/>
        </w:rPr>
      </w:pPr>
      <w:r>
        <w:rPr>
          <w:color w:val="auto"/>
        </w:rPr>
        <w:t>Tương tự, các nghiên cứu trong lĩnh vực nhà ở cho thấy TPB có thể được mở rộng bằng những biến phản ánh giá trị cảm nhận, chất lượng, tài chính và bối cảnh sản phẩm, nhưng việc mở rộng cần dựa trên lập luận khái niệm và thang đo rõ ràng (Tan and Goh, 2018; Islam et al., 2022; Pham Dinh et al., 2022). Điều này phản ánh xu hướng chuyển từ mô hình hành vi đơn giản sang mô hình tích hợp, trong đó các yếu tố tâm lý, xã hội, kinh tế và thuộc tính sản phẩm được xem xét đồng thời.</w:t>
      </w:r>
    </w:p>
    <w:p w:rsidR="00764EB5" w:rsidRDefault="00DF13CC" w:rsidP="003D6B28">
      <w:pPr>
        <w:rPr>
          <w:color w:val="auto"/>
        </w:rPr>
      </w:pPr>
      <w:r>
        <w:rPr>
          <w:color w:val="auto"/>
        </w:rPr>
        <w:t>Ngoài ra, các nghiên cứu gần đây còn sử dụng các phương pháp phân tích hiện đại như SEM hoặc PLS-SEM để kiểm định các mô hình mở rộng TPB, cho phép đánh giá đồng thời các mối quan hệ trực tiếp và gián tiếp giữa các biến. Điều này cho thấy TPB không còn được sử dụng như một mô hình độc lập mà trở thành một khung nền linh hoạt, có thể tích hợp với nhiều lý thuyết khác để phù hợp với từng bối cảnh nghiên cứu cụ thể.</w:t>
      </w:r>
    </w:p>
    <w:p w:rsidR="00764EB5" w:rsidRDefault="00DF13CC" w:rsidP="007B644D">
      <w:pPr>
        <w:pStyle w:val="Heading2"/>
      </w:pPr>
      <w:bookmarkStart w:id="239" w:name="_Toc234224101"/>
      <w:bookmarkStart w:id="240" w:name="_Toc241062440"/>
      <w:bookmarkStart w:id="241" w:name="_Toc241064361"/>
      <w:bookmarkStart w:id="242" w:name="_Toc241065294"/>
      <w:bookmarkStart w:id="243" w:name="_Toc241065505"/>
      <w:r>
        <w:t>2.3. Các yếu tố ảnh hưởng đến quyết định mua căn hộ</w:t>
      </w:r>
      <w:bookmarkEnd w:id="239"/>
      <w:r>
        <w:t xml:space="preserve"> chung cư</w:t>
      </w:r>
      <w:bookmarkEnd w:id="240"/>
      <w:bookmarkEnd w:id="241"/>
      <w:bookmarkEnd w:id="242"/>
      <w:bookmarkEnd w:id="243"/>
    </w:p>
    <w:p w:rsidR="00764EB5" w:rsidRDefault="00DF13CC" w:rsidP="00021C6B">
      <w:pPr>
        <w:pStyle w:val="Heading3"/>
      </w:pPr>
      <w:bookmarkStart w:id="244" w:name="_Toc234224102"/>
      <w:bookmarkStart w:id="245" w:name="_Toc241062441"/>
      <w:bookmarkStart w:id="246" w:name="_Toc241064362"/>
      <w:bookmarkStart w:id="247" w:name="_Toc241065295"/>
      <w:bookmarkStart w:id="248" w:name="_Toc241065506"/>
      <w:r>
        <w:t>2.3.1. Nhóm yếu tố thái độ đối với căn hộ chung cư</w:t>
      </w:r>
      <w:bookmarkEnd w:id="244"/>
      <w:bookmarkEnd w:id="245"/>
      <w:bookmarkEnd w:id="246"/>
      <w:bookmarkEnd w:id="247"/>
      <w:bookmarkEnd w:id="248"/>
    </w:p>
    <w:p w:rsidR="00764EB5" w:rsidRDefault="00DF13CC" w:rsidP="00296D82">
      <w:pPr>
        <w:spacing w:line="353" w:lineRule="auto"/>
        <w:rPr>
          <w:color w:val="auto"/>
        </w:rPr>
      </w:pPr>
      <w:r>
        <w:rPr>
          <w:color w:val="auto"/>
        </w:rPr>
        <w:t xml:space="preserve">Từ kết quả tổng quan các nghiên cứu trong nước và quốc tế ở các phần trước, có thể nhận thấy rằng quyết định mua căn hộ chung cư là kết quả của một quá trình đánh giá đa chiều, trong đó khách hàng không chỉ cân nhắc các yếu tố kinh tế hay </w:t>
      </w:r>
      <w:r>
        <w:rPr>
          <w:color w:val="auto"/>
        </w:rPr>
        <w:lastRenderedPageBreak/>
        <w:t>thuộc tính sản phẩm, mà còn chịu ảnh hưởng đồng thời bởi các yếu tố tâm lý, xã hội, pháp lý, văn hóa và niềm tin thị trường.</w:t>
      </w:r>
    </w:p>
    <w:p w:rsidR="00764EB5" w:rsidRDefault="00DF13CC" w:rsidP="00296D82">
      <w:pPr>
        <w:spacing w:line="353" w:lineRule="auto"/>
        <w:rPr>
          <w:color w:val="auto"/>
        </w:rPr>
      </w:pPr>
      <w:r>
        <w:rPr>
          <w:color w:val="auto"/>
        </w:rPr>
        <w:t>Theo TPB, thái độ đối với hành vi phản ánh mức độ đánh giá thuận lợi hay không thuận lợi của cá nhân đối với việc thực hiện hành vi đó (Ajzen, 1991). Trong nghiên cứu này, thái độ đối với căn hộ chung cư được hiểu là sự đánh giá tổng quát của khách hàng về việc mua căn hộ như một lựa chọn phù hợp, có giá trị và đáng mong muốn hay không. Bản chất của thái độ không hình thành một cách ngẫu nhiên, mà là kết quả của quá trình khách hàng tiếp nhận thông tin, so sánh lợi ích – chi phí và gán ý nghĩa cho các thuộc tính của căn hộ.</w:t>
      </w:r>
    </w:p>
    <w:p w:rsidR="00764EB5" w:rsidRDefault="00DF13CC" w:rsidP="00021C6B">
      <w:pPr>
        <w:spacing w:line="353" w:lineRule="auto"/>
        <w:rPr>
          <w:color w:val="auto"/>
        </w:rPr>
      </w:pPr>
      <w:r>
        <w:rPr>
          <w:color w:val="auto"/>
        </w:rPr>
        <w:t>Trong bối cảnh mua căn hộ chung cư, thái độ của khách hàng chịu ảnh hưởng mạnh từ các nhóm yếu tố liên quan đến dự án và vị trí, pháp lý, uy tín chủ đầu tư và văn hóa - phong thủy, bởi đây là những nội dung gắn trực tiếp với cách khách hàng cảm nhận “căn hộ này có đáng mua hay không”.</w:t>
      </w:r>
    </w:p>
    <w:p w:rsidR="00764EB5" w:rsidRDefault="00DF13CC" w:rsidP="00021C6B">
      <w:pPr>
        <w:spacing w:line="353" w:lineRule="auto"/>
        <w:rPr>
          <w:color w:val="auto"/>
        </w:rPr>
      </w:pPr>
      <w:r>
        <w:rPr>
          <w:color w:val="auto"/>
        </w:rPr>
        <w:t>Trước hết, yếu tố dự án và vị trí là nền tảng quan trọng của quá trình đánh giá căn hộ. Vị trí phản ánh khả năng tiếp cận việc làm, giáo dục, y tế, thương mại và kết nối hạ tầng. Hoàng Văn Cường và Nguyễn Thị Tùng Phương (2017) cho thấy các tiêu chí căn hộ có liên hệ với phong cách sống của người mua tại Hà Nội; Sundrani (2018) cũng ghi nhận mức độ ưu tiên thuộc tính và vị trí khác nhau theo loại căn hộ tại Ấn Độ. Trong bối cảnh Đông Nam Bộ, sự phát triển đô thị vệ tinh và kết nối liên vùng làm cho vị trí trở thành một thuộc tính đáng chú ý trong đánh giá tổng thể. Tuy nhiên, luận án không kiểm định vị trí như một biến độc lập nên chỉ sử dụng kết quả này để giải thích nội hàm Giá trị cảm nhận và Thái độ.</w:t>
      </w:r>
    </w:p>
    <w:p w:rsidR="00764EB5" w:rsidRPr="00021C6B" w:rsidRDefault="00DF13CC" w:rsidP="00021C6B">
      <w:pPr>
        <w:spacing w:line="353" w:lineRule="auto"/>
        <w:rPr>
          <w:color w:val="auto"/>
          <w:spacing w:val="-2"/>
        </w:rPr>
      </w:pPr>
      <w:r w:rsidRPr="00021C6B">
        <w:rPr>
          <w:color w:val="auto"/>
          <w:spacing w:val="-2"/>
        </w:rPr>
        <w:t>Môi trường sống cũng là một thành tố quan trọng thuộc nhóm dự án, bởi nó phản ánh mức độ phù hợp của căn hộ với nhu cầu an cư lâu dài. Khách hàng ngày càng quan tâm đến không gian xanh, mật độ dân cư, an ninh, chất lượng cộng đồng cư dân và chất lượng quản lý vận hành. Đặc biệt ở Đông Nam Bộ, nơi tốc độ đô thị hóa nhanh kéo theo áp lực giao thông, tiếng ồn và ô nhiễm môi trường, các dự án có môi trường sống tốt thường tạo ra lợi thế cạnh tranh rõ rệt trong nhận thức của khách hàng.</w:t>
      </w:r>
    </w:p>
    <w:p w:rsidR="00764EB5" w:rsidRPr="00021C6B" w:rsidRDefault="00DF13CC" w:rsidP="00021C6B">
      <w:pPr>
        <w:spacing w:line="353" w:lineRule="auto"/>
        <w:rPr>
          <w:color w:val="auto"/>
          <w:spacing w:val="-2"/>
        </w:rPr>
      </w:pPr>
      <w:r w:rsidRPr="00021C6B">
        <w:rPr>
          <w:color w:val="auto"/>
          <w:spacing w:val="-2"/>
        </w:rPr>
        <w:t xml:space="preserve">Cùng với vị trí, hạ tầng và tiện ích cũng góp phần hình thành thái độ đối với căn hộ. Trong điều kiện quỹ đất đô thị ngày càng hạn chế và nhịp sống hiện đại đòi hỏi </w:t>
      </w:r>
      <w:r w:rsidRPr="00021C6B">
        <w:rPr>
          <w:color w:val="auto"/>
          <w:spacing w:val="-2"/>
        </w:rPr>
        <w:lastRenderedPageBreak/>
        <w:t>cao hơn về chất lượng sống, khách hàng không chỉ mua một đơn vị ở mà còn mua cả một hệ sinh thái sống đi kèm. Các tiện ích nội khu như bãi đỗ xe, thang máy, khu sinh hoạt cộng đồng, hồ bơi, an ninh và các tiện ích ngoại khu như trường học, bệnh viện, trung tâm thương mại hay công viên sẽ tác động trực tiếp đến mức độ hấp dẫn của căn hộ. Từ góc độ tâm lý tiêu dùng, các tiện ích này giúp khách hàng hình dung tốt hơn về cuộc sống tương lai, từ đó làm gia tăng thái độ tích cực đối với quyết định mua.</w:t>
      </w:r>
    </w:p>
    <w:p w:rsidR="00764EB5" w:rsidRDefault="00DF13CC" w:rsidP="00296D82">
      <w:pPr>
        <w:rPr>
          <w:color w:val="auto"/>
        </w:rPr>
      </w:pPr>
      <w:r>
        <w:rPr>
          <w:color w:val="auto"/>
        </w:rPr>
        <w:t>Thứ ba, pháp lý là thành tố có ý nghĩa đối với cách người mua đánh giá mức độ an toàn của giao dịch. Trần Xuân Lượng (2021) cho thấy tính pháp lý có vai trò trong ý định mua nhà ở đô thị Việt Nam; đồng thời Luật Nhà ở 2023 và Luật Kinh doanh bất động sản 2023 đặt ra các yêu cầu về điều kiện giao dịch và công khai thông tin (Quốc hội, 2023a;  Quốc hội, 2023b). Do đó, minh bạch pháp lý có thể góp phần hình thành đánh giá tích cực về căn hộ, nhưng luận án không tách pháp lý thành biến độc lập để ước lượng tác động riêng.</w:t>
      </w:r>
    </w:p>
    <w:p w:rsidR="00764EB5" w:rsidRDefault="00DF13CC" w:rsidP="00296D82">
      <w:pPr>
        <w:rPr>
          <w:color w:val="auto"/>
        </w:rPr>
      </w:pPr>
      <w:r>
        <w:rPr>
          <w:color w:val="auto"/>
        </w:rPr>
        <w:t>Thứ tư, uy tín chủ đầu tư có thể được xem như một tín hiệu về năng lực thực hiện và mức độ đáng tin cậy của dự án trong điều kiện bất cân xứng thông tin (Spence, 1973). Bằng chứng về ý định mua căn hộ tại Việt Nam cho thấy thông tin và thuộc tính của dự án có liên hệ với nhận thức của người mua (Pham Dinh et al., 2022; Phạm Đình Hân, 2023). Trong luận án, uy tín chủ đầu tư được phản ánh trong thang đo GTCN nên kết quả chỉ cho phép thảo luận về giá trị tổng thể, không cho phép xếp hạng riêng mức tác động của uy tín.</w:t>
      </w:r>
    </w:p>
    <w:p w:rsidR="00764EB5" w:rsidRDefault="00DF13CC" w:rsidP="00296D82">
      <w:pPr>
        <w:rPr>
          <w:color w:val="auto"/>
        </w:rPr>
      </w:pPr>
      <w:r>
        <w:rPr>
          <w:color w:val="auto"/>
        </w:rPr>
        <w:t>Cuối cùng, yếu tố văn hóa - phong thủy được tiếp cận như một khía cạnh ý nghĩa mà người mua có thể gán cho không gian sống. CCT nhấn mạnh rằng hành vi tiêu dùng chịu ảnh hưởng của các giá trị và biểu tượng văn hóa (Arnould and Thompson, 2005). Vì phong thủy chỉ xuất hiện như một chỉ báo của GTCN trong bộ dữ liệu hiện có, luận án giới hạn diễn giải ở mức nó góp phần vào đánh giá tổng hợp của người trả lời, không coi đây là bằng chứng về một tác động độc lập.</w:t>
      </w:r>
    </w:p>
    <w:p w:rsidR="00764EB5" w:rsidRDefault="00DF13CC" w:rsidP="00296D82">
      <w:pPr>
        <w:rPr>
          <w:color w:val="auto"/>
        </w:rPr>
      </w:pPr>
      <w:r>
        <w:rPr>
          <w:color w:val="auto"/>
        </w:rPr>
        <w:t xml:space="preserve">Từ các phân tích trên có thể thấy, thái độ đối với căn hộ chung cư là kết quả tổng hợp của việc khách hàng đánh giá các yếu tố thuộc tính, pháp lý, uy tín và văn hóa. Khi khách hàng cảm nhận căn hộ có vị trí thuận lợi, tiện ích tốt, pháp lý rõ </w:t>
      </w:r>
      <w:r>
        <w:rPr>
          <w:color w:val="auto"/>
        </w:rPr>
        <w:lastRenderedPageBreak/>
        <w:t>ràng, chủ đầu tư đáng tin cậy và phù hợp với niềm tin văn hóa, họ có xu hướng hình thành thái độ tích cực hơn đối với việc mua căn hộ.</w:t>
      </w:r>
    </w:p>
    <w:p w:rsidR="00764EB5" w:rsidRDefault="00DF13CC" w:rsidP="00021C6B">
      <w:pPr>
        <w:pStyle w:val="Heading3"/>
      </w:pPr>
      <w:bookmarkStart w:id="249" w:name="_Toc234224103"/>
      <w:bookmarkStart w:id="250" w:name="_Toc241062442"/>
      <w:bookmarkStart w:id="251" w:name="_Toc241064363"/>
      <w:bookmarkStart w:id="252" w:name="_Toc241065296"/>
      <w:bookmarkStart w:id="253" w:name="_Toc241065507"/>
      <w:r>
        <w:t>2.3.2. Nhóm yếu tố chuẩn chủ quan</w:t>
      </w:r>
      <w:bookmarkEnd w:id="249"/>
      <w:bookmarkEnd w:id="250"/>
      <w:bookmarkEnd w:id="251"/>
      <w:bookmarkEnd w:id="252"/>
      <w:bookmarkEnd w:id="253"/>
    </w:p>
    <w:p w:rsidR="00764EB5" w:rsidRDefault="00DF13CC" w:rsidP="003D6B28">
      <w:pPr>
        <w:rPr>
          <w:color w:val="auto"/>
        </w:rPr>
      </w:pPr>
      <w:r>
        <w:rPr>
          <w:color w:val="auto"/>
        </w:rPr>
        <w:t>Theo Ajzen (1991), chuẩn chủ quan phản ánh áp lực xã hội cảm nhận mà một cá nhân nhận được từ những người quan trọng đối với họ khi thực hiện hay không thực hiện một hành vi. Trong trường hợp mua căn hộ chung cư, chuẩn chủ quan thể hiện mức độ ảnh hưởng của gia đình, bạn bè, đồng nghiệp, cộng đồng xã hội và xu hướng thị trường đến ý định mua của khách hàng.</w:t>
      </w:r>
    </w:p>
    <w:p w:rsidR="00764EB5" w:rsidRDefault="00DF13CC" w:rsidP="00021C6B">
      <w:pPr>
        <w:spacing w:line="343" w:lineRule="auto"/>
        <w:rPr>
          <w:color w:val="auto"/>
        </w:rPr>
      </w:pPr>
      <w:r>
        <w:rPr>
          <w:color w:val="auto"/>
        </w:rPr>
        <w:t>Chuẩn chủ quan phản ánh sức ép hoặc sự ủng hộ từ những người quan trọng đối với cá nhân. Trong quyết định mua nhà, tương tác và thương lượng trong gia đình có thể ảnh hưởng đến lựa chọn cuối cùng (Levy et al., 2008). Bằng chứng tại Việt Nam cũng cho thấy chuẩn chủ quan có ý nghĩa trong mô hình ý định mua căn hộ theo TPB mở rộng (Pham Dinh et al., 2022). Vì vậy, luận án giữ Chuẩn chủ quan là một cấu phần TPB tác động đến Ý định mua.</w:t>
      </w:r>
    </w:p>
    <w:p w:rsidR="00764EB5" w:rsidRDefault="00DF13CC" w:rsidP="00021C6B">
      <w:pPr>
        <w:spacing w:line="343" w:lineRule="auto"/>
        <w:rPr>
          <w:color w:val="auto"/>
        </w:rPr>
      </w:pPr>
      <w:r>
        <w:rPr>
          <w:color w:val="auto"/>
        </w:rPr>
        <w:t>Trong nhóm chuẩn chủ quan, trước hết phải kể đến ảnh hưởng từ gia đình. Đối với nhiều khách hàng, đặc biệt là nhóm mua căn hộ để ở, gia đình không chỉ là nhóm tham khảo mà còn là chủ thể đồng quyết định. Ý kiến của vợ/chồng, cha mẹ, anh chị em hoặc người thân có thể quyết định việc lựa chọn dự án, thời điểm mua hay mức ngân sách chấp nhận được. Ở Đông Nam Bộ, nơi nhiều gia đình trẻ đang đối diện với áp lực nhà ở trong bối cảnh giá bất động sản tăng nhanh, sự tham gia của gia đình vào quyết định mua căn hộ càng trở nên rõ nét hơn, cả dưới góc độ hỗ trợ tài chính lẫn định hướng lựa chọn.</w:t>
      </w:r>
    </w:p>
    <w:p w:rsidR="00764EB5" w:rsidRDefault="00DF13CC" w:rsidP="00021C6B">
      <w:pPr>
        <w:spacing w:line="343" w:lineRule="auto"/>
        <w:rPr>
          <w:color w:val="auto"/>
          <w:spacing w:val="-4"/>
        </w:rPr>
      </w:pPr>
      <w:r>
        <w:rPr>
          <w:color w:val="auto"/>
        </w:rPr>
        <w:t>Bên cạnh gia đình, ảnh hưởng từ bạn bè, đồng nghiệp và người quen cũng góp phần hình thành chuẩn chủ quan. Trong nhiều trường hợp, khách hàng dựa vào trải nghiệm của những người đã mua căn hộ trước đó để đánh giá mức độ uy tín của chủ đầu tư, chất lượng dự án hoặc tiềm năng tăng giá. Điều này đặc biệt đúng trong điều kiện thị trường có nhiều thông tin không đối xứng, khi truyền miệng xã hội trở thành một nguồn thông tin có độ tin cậy cao hơn quảng cáo chính thức.</w:t>
      </w:r>
    </w:p>
    <w:p w:rsidR="00764EB5" w:rsidRDefault="00DF13CC" w:rsidP="00021C6B">
      <w:pPr>
        <w:spacing w:line="343" w:lineRule="auto"/>
        <w:rPr>
          <w:color w:val="auto"/>
        </w:rPr>
      </w:pPr>
      <w:r>
        <w:rPr>
          <w:color w:val="auto"/>
        </w:rPr>
        <w:t xml:space="preserve">Ngoài tác động trực tiếp từ các cá nhân quen biết, xu hướng xã hội cũng là một thành tố quan trọng của chuẩn chủ quan. Trong bối cảnh đô thị hóa và hiện đại hóa, căn hộ chung cư dần được nhìn nhận không chỉ là chỗ ở mà còn là biểu tượng </w:t>
      </w:r>
      <w:r>
        <w:rPr>
          <w:color w:val="auto"/>
        </w:rPr>
        <w:lastRenderedPageBreak/>
        <w:t>của lối sống đô thị, tiện nghi và văn minh. Tại Đông Nam Bộ, xu hướng sống trong các khu căn hộ tích hợp tiện ích, an ninh và kết nối giao thông đang ngày càng được chấp nhận rộng rãi, đặc biệt trong nhóm khách hàng trẻ, nhân sự văn phòng, chuyên gia và các hộ gia đình hạt nhân. Chính xu hướng xã hội này tạo ra áp lực chuẩn mực mới, làm cho việc sở hữu căn hộ trở thành một lựa chọn “hợp lý”, “hiện đại” và “phù hợp với giai đoạn sống”.</w:t>
      </w:r>
    </w:p>
    <w:p w:rsidR="00764EB5" w:rsidRPr="00296D82" w:rsidRDefault="00DF13CC" w:rsidP="00296D82">
      <w:pPr>
        <w:spacing w:line="348" w:lineRule="auto"/>
        <w:rPr>
          <w:color w:val="auto"/>
          <w:spacing w:val="-4"/>
        </w:rPr>
      </w:pPr>
      <w:r w:rsidRPr="00296D82">
        <w:rPr>
          <w:color w:val="auto"/>
          <w:spacing w:val="-4"/>
        </w:rPr>
        <w:t>Như vậy, chuẩn chủ quan trong hành vi mua căn hộ không chỉ phản ánh tác động trực tiếp từ gia đình và bạn bè, mà còn bao gồm ảnh hưởng của các chuẩn mực và xu hướng xã hội. Khi khách hàng cảm nhận rằng những người quan trọng hoặc cộng đồng xung quanh ủng hộ việc mua căn hộ, ý định mua của họ có xu hướng gia tăng.</w:t>
      </w:r>
    </w:p>
    <w:p w:rsidR="00764EB5" w:rsidRDefault="00DF13CC" w:rsidP="00021C6B">
      <w:pPr>
        <w:pStyle w:val="Heading3"/>
        <w:spacing w:line="343" w:lineRule="auto"/>
      </w:pPr>
      <w:bookmarkStart w:id="254" w:name="_Toc234224104"/>
      <w:bookmarkStart w:id="255" w:name="_Toc241062443"/>
      <w:bookmarkStart w:id="256" w:name="_Toc241064364"/>
      <w:bookmarkStart w:id="257" w:name="_Toc241065297"/>
      <w:bookmarkStart w:id="258" w:name="_Toc241065508"/>
      <w:r>
        <w:t>2.3.3. Nhóm yếu tố nhận thức kiểm soát hành vi</w:t>
      </w:r>
      <w:bookmarkEnd w:id="254"/>
      <w:bookmarkEnd w:id="255"/>
      <w:bookmarkEnd w:id="256"/>
      <w:bookmarkEnd w:id="257"/>
      <w:bookmarkEnd w:id="258"/>
    </w:p>
    <w:p w:rsidR="00764EB5" w:rsidRPr="00296D82" w:rsidRDefault="00DF13CC" w:rsidP="00021C6B">
      <w:pPr>
        <w:spacing w:line="343" w:lineRule="auto"/>
        <w:rPr>
          <w:color w:val="auto"/>
          <w:spacing w:val="-2"/>
        </w:rPr>
      </w:pPr>
      <w:r w:rsidRPr="00296D82">
        <w:rPr>
          <w:color w:val="auto"/>
          <w:spacing w:val="-2"/>
        </w:rPr>
        <w:t>Nhận thức kiểm soát hành vi là cấu phần thứ ba của TPB, phản ánh mức độ mà cá nhân tin rằng họ có đủ nguồn lực, khả năng và điều kiện để thực hiện hành vi (Ajzen, 1991). Trong nghiên cứu này, nhận thức kiểm soát hành vi được cụ thể hóa chủ yếu thông qua nhóm yếu tố kinh tế – tài chính, bởi trong thực tiễn mua căn hộ, khả năng thực hiện hành vi phụ thuộc rất lớn vào nguồn lực tài chính của khách hàng.</w:t>
      </w:r>
    </w:p>
    <w:p w:rsidR="00764EB5" w:rsidRDefault="00DF13CC" w:rsidP="00021C6B">
      <w:pPr>
        <w:spacing w:line="343" w:lineRule="auto"/>
        <w:rPr>
          <w:color w:val="auto"/>
        </w:rPr>
      </w:pPr>
      <w:r>
        <w:rPr>
          <w:color w:val="auto"/>
        </w:rPr>
        <w:t>Trước hết, giá cả, thu nhập và khả năng vay vốn là những điều kiện quan trọng định hình nhận thức kiểm soát hành vi. Mua căn hộ là một quyết định có giá trị lớn, nên khách hàng thường phải đánh giá đồng thời mức giá căn hộ, thu nhập hiện tại, mức tiết kiệm tích lũy và khả năng huy động vốn bên ngoài. Islam et al. (2022) cho thấy khả năng tiếp cận nguồn tiền có ý nghĩa trong mô hình ý định mua căn hộ; các nghiên cứu tại Việt Nam của Trần Xuân Lượng (2021) và Pham Dinh et al. (2022) cũng cung cấp bằng chứng phù hợp về vai trò của nguồn lực và nhận thức kiểm soát trong quá trình hình thành ý định mua.</w:t>
      </w:r>
    </w:p>
    <w:p w:rsidR="00764EB5" w:rsidRDefault="00DF13CC" w:rsidP="00021C6B">
      <w:pPr>
        <w:spacing w:line="343" w:lineRule="auto"/>
        <w:rPr>
          <w:color w:val="auto"/>
        </w:rPr>
      </w:pPr>
      <w:r>
        <w:rPr>
          <w:color w:val="auto"/>
        </w:rPr>
        <w:t>Đối với khách hàng ở Đông Nam Bộ, yếu tố tài chính càng trở nên nhạy cảm do mặt bằng giá căn hộ tại TP.HCM, Bình Dương, Đồng Nai và các đô thị vệ tinh đang ở mức cao so với thu nhập bình quân của nhiều nhóm dân cư. Trong bối cảnh đó, ngay cả khi khách hàng có thái độ tích cực và nhận được sự ủng hộ xã hội, ý định mua vẫn có thể không được chuyển hóa thành mức độ sẵn sàng hành động nếu họ cảm thấy không đủ năng lực tài chính để thực hiện giao dịch.</w:t>
      </w:r>
    </w:p>
    <w:p w:rsidR="00764EB5" w:rsidRDefault="00DF13CC" w:rsidP="00021C6B">
      <w:pPr>
        <w:spacing w:line="343" w:lineRule="auto"/>
        <w:rPr>
          <w:color w:val="auto"/>
        </w:rPr>
      </w:pPr>
      <w:r>
        <w:rPr>
          <w:color w:val="auto"/>
        </w:rPr>
        <w:t xml:space="preserve">Một yếu tố thành phần rất quan trọng khác là tiếp cận tín dụng. Trong thị trường căn hộ, tín dụng không chỉ là phương thức hỗ trợ thanh toán mà còn là điều </w:t>
      </w:r>
      <w:r>
        <w:rPr>
          <w:color w:val="auto"/>
        </w:rPr>
        <w:lastRenderedPageBreak/>
        <w:t>kiện kích hoạt hành vi mua. Khả năng được vay vốn, tỷ lệ cho vay, lãi suất, thời hạn vay và thủ tục tiếp cận tín dụng ảnh hưởng trực tiếp đến mức độ khách hàng cảm thấy mình “có thể mua được” căn hộ hay không. Tại Đông Nam Bộ, nơi số lượng lớn khách hàng thuộc nhóm mua ở thực là lao động tri thức, nhân viên văn phòng, chuyên gia trẻ hoặc hộ gia đình mới hình thành, tiếp cận tín dụng thường là điều kiện then chốt giúp ý định mua chuyển thành quyết định thực tế.</w:t>
      </w:r>
    </w:p>
    <w:p w:rsidR="00764EB5" w:rsidRDefault="00DF13CC" w:rsidP="003D6B28">
      <w:pPr>
        <w:rPr>
          <w:color w:val="auto"/>
        </w:rPr>
      </w:pPr>
      <w:r>
        <w:rPr>
          <w:color w:val="auto"/>
        </w:rPr>
        <w:t>Từ góc độ tâm lý, nhận thức kiểm soát hành vi không nhất thiết phản ánh khả năng tài chính thực tế một cách tuyệt đối, mà phản ánh cảm nhận chủ quan của khách hàng về khả năng thực hiện giao dịch. Nghĩa là, hai khách hàng có mức thu nhập tương đương có thể có mức độ sẵn sàng mua rất khác nhau, tùy vào mức độ họ cảm thấy kiểm soát được các điều kiện tài chính và thủ tục liên quan. Đây là lý do vì sao nhóm yếu tố tài chính cần được xem như thành tố cốt lõi của nhận thức kiểm soát hành vi trong mô hình nghiên cứu này.</w:t>
      </w:r>
    </w:p>
    <w:p w:rsidR="00764EB5" w:rsidRDefault="00DF13CC" w:rsidP="00021C6B">
      <w:pPr>
        <w:pStyle w:val="Heading3"/>
      </w:pPr>
      <w:bookmarkStart w:id="259" w:name="_Toc234224105"/>
      <w:bookmarkStart w:id="260" w:name="_Toc241062444"/>
      <w:bookmarkStart w:id="261" w:name="_Toc241064365"/>
      <w:bookmarkStart w:id="262" w:name="_Toc241065298"/>
      <w:bookmarkStart w:id="263" w:name="_Toc241065509"/>
      <w:r>
        <w:t>2.3.4. Nhóm yếu tố giá trị cảm nhận căn hộ</w:t>
      </w:r>
      <w:bookmarkEnd w:id="259"/>
      <w:bookmarkEnd w:id="260"/>
      <w:bookmarkEnd w:id="261"/>
      <w:bookmarkEnd w:id="262"/>
      <w:bookmarkEnd w:id="263"/>
    </w:p>
    <w:p w:rsidR="00764EB5" w:rsidRDefault="00DF13CC" w:rsidP="003D6B28">
      <w:pPr>
        <w:rPr>
          <w:color w:val="auto"/>
          <w:spacing w:val="-2"/>
        </w:rPr>
      </w:pPr>
      <w:r>
        <w:rPr>
          <w:color w:val="auto"/>
          <w:spacing w:val="-2"/>
        </w:rPr>
        <w:t>Nếu thái độ phản ánh đánh giá tổng quát của khách hàng đối với việc mua căn hộ, thì giá trị cảm nhận căn hộ phản ánh logic đánh đổi giữa lợi ích và chi phí mà khách hàng gắn cho bản thân căn hộ như một sản phẩm cụ thể. Theo Zeithaml (1988), giá trị cảm nhận là sự đánh giá tổng thể của khách hàng về tính hữu ích của sản phẩm dựa trên nhận thức về những gì nhận được và những gì phải bỏ ra. Trong nghiên cứu về căn hộ chung cư, giá trị cảm nhận có thể được xem là kết quả tích hợp của nhiều thuộc tính quan trọng như vị trí, tiện ích, chất lượng sống, tính pháp lý, uy tín chủ đầu tư, phong thủy và tiềm năng đầu tư.</w:t>
      </w:r>
    </w:p>
    <w:p w:rsidR="00764EB5" w:rsidRDefault="00DF13CC" w:rsidP="003D6B28">
      <w:pPr>
        <w:rPr>
          <w:color w:val="auto"/>
        </w:rPr>
      </w:pPr>
      <w:r>
        <w:rPr>
          <w:color w:val="auto"/>
        </w:rPr>
        <w:t>Trong bối cảnh này, giá trị cảm nhận căn hộ không chỉ là một yếu tố bổ sung mà còn là một cấu trúc có khả năng tổng hợp các nội dung khách hàng quan tâm thành một nhận thức giá trị chung. Khi khách hàng cho rằng căn hộ có vị trí tốt, tiện ích phù hợp, pháp lý rõ ràng, chủ đầu tư đáng tin cậy, phong thủy hài hòa và tiềm năng tăng giá tốt, họ sẽ hình thành cảm nhận rằng căn hộ “đáng mua”, ngay cả khi chi phí bỏ ra là lớn.</w:t>
      </w:r>
    </w:p>
    <w:p w:rsidR="00764EB5" w:rsidRDefault="00DF13CC" w:rsidP="003D6B28">
      <w:pPr>
        <w:rPr>
          <w:color w:val="auto"/>
        </w:rPr>
      </w:pPr>
      <w:r>
        <w:rPr>
          <w:color w:val="auto"/>
        </w:rPr>
        <w:t xml:space="preserve">Giá trị cảm nhận đặc biệt quan trọng trong bối cảnh Đông Nam Bộ, nơi thị trường căn hộ có sự phân hóa mạnh về phân khúc, vị trí, chất lượng và giá cả. Khách hàng không đơn thuần hỏi “căn hộ này giá bao nhiêu”, mà thường hỏi “với </w:t>
      </w:r>
      <w:r>
        <w:rPr>
          <w:color w:val="auto"/>
        </w:rPr>
        <w:lastRenderedPageBreak/>
        <w:t>mức giá đó, căn hộ có xứng đáng hay không”. Vì vậy, việc đưa giá trị cảm nhận vào mô hình giúp phản ánh tốt hơn cơ chế đánh giá tổng hợp của khách hàng, thay vì xem từng thuộc tính như những biến rời rạc hoàn toàn độc lập.</w:t>
      </w:r>
    </w:p>
    <w:p w:rsidR="00764EB5" w:rsidRDefault="00DF13CC" w:rsidP="003D6B28">
      <w:pPr>
        <w:rPr>
          <w:color w:val="auto"/>
        </w:rPr>
      </w:pPr>
      <w:r>
        <w:rPr>
          <w:color w:val="auto"/>
        </w:rPr>
        <w:t>Từ góc độ lý thuyết, Giá trị cảm nhận và Thái độ có liên hệ nhưng không đồng nhất. Giá trị cảm nhận nhấn mạnh vào logic “nhận được – đánh đổi” khi khách hàng đánh giá bản thân căn hộ như một sản phẩm, còn Thái độ phản ánh mức độ đánh giá thuận lợi hay không thuận lợi đối với hành vi mua. Trong mô hình của luận án, hai cấu trúc này được đặc tả song song như các biến tiền đề của Ý định mua; nghiên cứu không giả định Giá trị cảm nhận hình thành Thái độ.</w:t>
      </w:r>
    </w:p>
    <w:p w:rsidR="00764EB5" w:rsidRDefault="00DF13CC" w:rsidP="00021C6B">
      <w:pPr>
        <w:pStyle w:val="DMB"/>
        <w:outlineLvl w:val="0"/>
      </w:pPr>
      <w:bookmarkStart w:id="264" w:name="__RefHeading___Toc7827_1147916741"/>
      <w:bookmarkStart w:id="265" w:name="_Toc238482015"/>
      <w:bookmarkStart w:id="266" w:name="_Toc226534655"/>
      <w:bookmarkStart w:id="267" w:name="_Toc241064366"/>
      <w:bookmarkStart w:id="268" w:name="_Toc241065510"/>
      <w:bookmarkEnd w:id="264"/>
      <w:r>
        <w:t>Bảng 2.</w:t>
      </w:r>
      <w:r w:rsidR="002E378C">
        <w:fldChar w:fldCharType="begin"/>
      </w:r>
      <w:r w:rsidR="002E378C">
        <w:instrText xml:space="preserve"> SEQ Bảng_2. \* ARABIC </w:instrText>
      </w:r>
      <w:r w:rsidR="002E378C">
        <w:fldChar w:fldCharType="separate"/>
      </w:r>
      <w:r w:rsidR="00783A1B">
        <w:rPr>
          <w:noProof/>
        </w:rPr>
        <w:t>3</w:t>
      </w:r>
      <w:r w:rsidR="002E378C">
        <w:rPr>
          <w:noProof/>
        </w:rPr>
        <w:fldChar w:fldCharType="end"/>
      </w:r>
      <w:r>
        <w:t>. Tổng hợp các nhóm yếu tố cho mô hình nghiên cứu dự kiến</w:t>
      </w:r>
      <w:bookmarkEnd w:id="265"/>
      <w:bookmarkEnd w:id="266"/>
      <w:bookmarkEnd w:id="267"/>
      <w:bookmarkEnd w:id="268"/>
    </w:p>
    <w:tbl>
      <w:tblPr>
        <w:tblW w:w="8829" w:type="dxa"/>
        <w:tblLayout w:type="fixed"/>
        <w:tblLook w:val="04A0" w:firstRow="1" w:lastRow="0" w:firstColumn="1" w:lastColumn="0" w:noHBand="0" w:noVBand="1"/>
      </w:tblPr>
      <w:tblGrid>
        <w:gridCol w:w="1209"/>
        <w:gridCol w:w="2810"/>
        <w:gridCol w:w="2384"/>
        <w:gridCol w:w="2426"/>
      </w:tblGrid>
      <w:tr w:rsidR="00764EB5">
        <w:tc>
          <w:tcPr>
            <w:tcW w:w="1208"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firstLine="0"/>
              <w:jc w:val="center"/>
              <w:rPr>
                <w:b/>
                <w:bCs/>
                <w:color w:val="auto"/>
              </w:rPr>
            </w:pPr>
            <w:r>
              <w:rPr>
                <w:b/>
                <w:bCs/>
                <w:color w:val="auto"/>
              </w:rPr>
              <w:t>Nhóm yếu tố lý thuyết</w:t>
            </w:r>
          </w:p>
        </w:tc>
        <w:tc>
          <w:tcPr>
            <w:tcW w:w="2810"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firstLine="0"/>
              <w:jc w:val="center"/>
              <w:rPr>
                <w:b/>
                <w:bCs/>
                <w:color w:val="auto"/>
              </w:rPr>
            </w:pPr>
            <w:r>
              <w:rPr>
                <w:b/>
                <w:bCs/>
                <w:color w:val="auto"/>
              </w:rPr>
              <w:t>Nội dung thành phần chủ yếu</w:t>
            </w:r>
          </w:p>
        </w:tc>
        <w:tc>
          <w:tcPr>
            <w:tcW w:w="2384"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firstLine="0"/>
              <w:jc w:val="center"/>
              <w:rPr>
                <w:b/>
                <w:bCs/>
                <w:color w:val="auto"/>
              </w:rPr>
            </w:pPr>
            <w:r>
              <w:rPr>
                <w:b/>
                <w:bCs/>
                <w:color w:val="auto"/>
              </w:rPr>
              <w:t>Ý nghĩa trong mô hình nghiên cứu</w:t>
            </w:r>
          </w:p>
        </w:tc>
        <w:tc>
          <w:tcPr>
            <w:tcW w:w="2426"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firstLine="0"/>
              <w:jc w:val="center"/>
              <w:rPr>
                <w:b/>
                <w:bCs/>
                <w:color w:val="auto"/>
              </w:rPr>
            </w:pPr>
            <w:r>
              <w:rPr>
                <w:b/>
                <w:bCs/>
                <w:color w:val="auto"/>
              </w:rPr>
              <w:t>Nguồn tham khảo</w:t>
            </w:r>
          </w:p>
        </w:tc>
      </w:tr>
      <w:tr w:rsidR="00764EB5">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72" w:lineRule="auto"/>
              <w:ind w:firstLine="0"/>
              <w:jc w:val="center"/>
              <w:rPr>
                <w:color w:val="auto"/>
              </w:rPr>
            </w:pPr>
            <w:r>
              <w:rPr>
                <w:color w:val="auto"/>
              </w:rPr>
              <w:t>Thái độ đối với việc mua căn hộ</w:t>
            </w:r>
          </w:p>
        </w:tc>
        <w:tc>
          <w:tcPr>
            <w:tcW w:w="2810"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72" w:lineRule="auto"/>
              <w:ind w:firstLine="0"/>
              <w:jc w:val="left"/>
              <w:rPr>
                <w:color w:val="auto"/>
              </w:rPr>
            </w:pPr>
            <w:r>
              <w:rPr>
                <w:color w:val="auto"/>
              </w:rPr>
              <w:t>Đánh giá tổng quát tích cực/tiêu cực đối với hành vi mua; các thuộc tính dự án chỉ được dùng để diễn giải bối cảnh hình thành thái độ, không phải là biến quan sát riêng của TD</w:t>
            </w:r>
          </w:p>
        </w:tc>
        <w:tc>
          <w:tcPr>
            <w:tcW w:w="2384"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72" w:lineRule="auto"/>
              <w:ind w:firstLine="0"/>
              <w:jc w:val="left"/>
              <w:rPr>
                <w:color w:val="auto"/>
              </w:rPr>
            </w:pPr>
            <w:r>
              <w:rPr>
                <w:color w:val="auto"/>
              </w:rPr>
              <w:t>Phản ánh mức độ thuận lợi hay bất lợi mà khách hàng gắn với hành vi mua và tác động đến Ý định mua</w:t>
            </w:r>
          </w:p>
        </w:tc>
        <w:tc>
          <w:tcPr>
            <w:tcW w:w="242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72" w:lineRule="auto"/>
              <w:ind w:firstLine="0"/>
              <w:jc w:val="left"/>
              <w:rPr>
                <w:color w:val="auto"/>
              </w:rPr>
            </w:pPr>
            <w:r>
              <w:rPr>
                <w:color w:val="auto"/>
              </w:rPr>
              <w:t>Ajzen (1991); Fishbein and Ajzen (1975); Tan and Goh (2018); Pham Dinh et al. (2022)</w:t>
            </w:r>
          </w:p>
        </w:tc>
      </w:tr>
      <w:tr w:rsidR="00764EB5">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72" w:lineRule="auto"/>
              <w:ind w:firstLine="0"/>
              <w:jc w:val="center"/>
              <w:rPr>
                <w:color w:val="auto"/>
              </w:rPr>
            </w:pPr>
            <w:r>
              <w:rPr>
                <w:color w:val="auto"/>
              </w:rPr>
              <w:t>Chuẩn chủ quan</w:t>
            </w:r>
          </w:p>
        </w:tc>
        <w:tc>
          <w:tcPr>
            <w:tcW w:w="2810"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72" w:lineRule="auto"/>
              <w:ind w:firstLine="0"/>
              <w:jc w:val="left"/>
              <w:rPr>
                <w:color w:val="auto"/>
              </w:rPr>
            </w:pPr>
            <w:r>
              <w:rPr>
                <w:color w:val="auto"/>
              </w:rPr>
              <w:t>Ảnh hưởng từ gia đình, bạn bè, người quan trọng và nhóm tham khảo</w:t>
            </w:r>
          </w:p>
        </w:tc>
        <w:tc>
          <w:tcPr>
            <w:tcW w:w="2384"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72" w:lineRule="auto"/>
              <w:ind w:firstLine="0"/>
              <w:jc w:val="left"/>
              <w:rPr>
                <w:color w:val="auto"/>
              </w:rPr>
            </w:pPr>
            <w:r>
              <w:rPr>
                <w:color w:val="auto"/>
              </w:rPr>
              <w:t>Phản ánh áp lực/ủng hộ xã hội mà khách hàng cảm nhận đối với hành vi mua căn hộ</w:t>
            </w:r>
          </w:p>
        </w:tc>
        <w:tc>
          <w:tcPr>
            <w:tcW w:w="242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72" w:lineRule="auto"/>
              <w:ind w:firstLine="0"/>
              <w:jc w:val="left"/>
              <w:rPr>
                <w:color w:val="auto"/>
              </w:rPr>
            </w:pPr>
            <w:r>
              <w:rPr>
                <w:color w:val="auto"/>
              </w:rPr>
              <w:t>Ajzen (1991); Levy, Murphy and Lee (2008); Pham Dinh et al. (2022)</w:t>
            </w:r>
          </w:p>
        </w:tc>
      </w:tr>
      <w:tr w:rsidR="00764EB5" w:rsidRPr="00296D82">
        <w:tc>
          <w:tcPr>
            <w:tcW w:w="1208" w:type="dxa"/>
            <w:tcBorders>
              <w:top w:val="single" w:sz="4" w:space="0" w:color="000000"/>
              <w:left w:val="single" w:sz="4" w:space="0" w:color="000000"/>
              <w:bottom w:val="single" w:sz="4" w:space="0" w:color="000000"/>
              <w:right w:val="single" w:sz="4" w:space="0" w:color="000000"/>
            </w:tcBorders>
          </w:tcPr>
          <w:p w:rsidR="00764EB5" w:rsidRPr="00296D82" w:rsidRDefault="00DF13CC" w:rsidP="00296D82">
            <w:pPr>
              <w:ind w:firstLine="0"/>
              <w:jc w:val="center"/>
              <w:rPr>
                <w:color w:val="auto"/>
                <w:spacing w:val="-4"/>
              </w:rPr>
            </w:pPr>
            <w:r w:rsidRPr="00296D82">
              <w:rPr>
                <w:color w:val="auto"/>
                <w:spacing w:val="-4"/>
              </w:rPr>
              <w:t xml:space="preserve">Nhận thức kiểm soát </w:t>
            </w:r>
            <w:r w:rsidRPr="00296D82">
              <w:rPr>
                <w:color w:val="auto"/>
                <w:spacing w:val="-4"/>
              </w:rPr>
              <w:lastRenderedPageBreak/>
              <w:t>hành vi</w:t>
            </w:r>
          </w:p>
        </w:tc>
        <w:tc>
          <w:tcPr>
            <w:tcW w:w="2810" w:type="dxa"/>
            <w:tcBorders>
              <w:top w:val="single" w:sz="4" w:space="0" w:color="000000"/>
              <w:left w:val="single" w:sz="4" w:space="0" w:color="000000"/>
              <w:bottom w:val="single" w:sz="4" w:space="0" w:color="000000"/>
              <w:right w:val="single" w:sz="4" w:space="0" w:color="000000"/>
            </w:tcBorders>
          </w:tcPr>
          <w:p w:rsidR="00764EB5" w:rsidRPr="00296D82" w:rsidRDefault="00DF13CC" w:rsidP="003D6B28">
            <w:pPr>
              <w:ind w:firstLine="0"/>
              <w:jc w:val="left"/>
              <w:rPr>
                <w:color w:val="auto"/>
                <w:spacing w:val="-4"/>
              </w:rPr>
            </w:pPr>
            <w:r w:rsidRPr="00296D82">
              <w:rPr>
                <w:color w:val="auto"/>
                <w:spacing w:val="-4"/>
              </w:rPr>
              <w:lastRenderedPageBreak/>
              <w:t xml:space="preserve">Khả năng tài chính, khả năng tiếp cận thông tin và mức độ tự chủ trong thực </w:t>
            </w:r>
            <w:r w:rsidRPr="00296D82">
              <w:rPr>
                <w:color w:val="auto"/>
                <w:spacing w:val="-4"/>
              </w:rPr>
              <w:lastRenderedPageBreak/>
              <w:t>hiện giao dịch</w:t>
            </w:r>
          </w:p>
        </w:tc>
        <w:tc>
          <w:tcPr>
            <w:tcW w:w="2384" w:type="dxa"/>
            <w:tcBorders>
              <w:top w:val="single" w:sz="4" w:space="0" w:color="000000"/>
              <w:left w:val="single" w:sz="4" w:space="0" w:color="000000"/>
              <w:bottom w:val="single" w:sz="4" w:space="0" w:color="000000"/>
              <w:right w:val="single" w:sz="4" w:space="0" w:color="000000"/>
            </w:tcBorders>
          </w:tcPr>
          <w:p w:rsidR="00764EB5" w:rsidRPr="00296D82" w:rsidRDefault="00DF13CC" w:rsidP="003D6B28">
            <w:pPr>
              <w:ind w:firstLine="0"/>
              <w:jc w:val="left"/>
              <w:rPr>
                <w:color w:val="auto"/>
                <w:spacing w:val="-4"/>
              </w:rPr>
            </w:pPr>
            <w:r w:rsidRPr="00296D82">
              <w:rPr>
                <w:color w:val="auto"/>
                <w:spacing w:val="-4"/>
              </w:rPr>
              <w:lastRenderedPageBreak/>
              <w:t xml:space="preserve">Phản ánh mức độ khách hàng cảm nhận mình có nguồn </w:t>
            </w:r>
            <w:r w:rsidRPr="00296D82">
              <w:rPr>
                <w:color w:val="auto"/>
                <w:spacing w:val="-4"/>
              </w:rPr>
              <w:lastRenderedPageBreak/>
              <w:t>lực và khả năng thực hiện hành vi mua</w:t>
            </w:r>
          </w:p>
        </w:tc>
        <w:tc>
          <w:tcPr>
            <w:tcW w:w="2426" w:type="dxa"/>
            <w:tcBorders>
              <w:top w:val="single" w:sz="4" w:space="0" w:color="000000"/>
              <w:left w:val="single" w:sz="4" w:space="0" w:color="000000"/>
              <w:bottom w:val="single" w:sz="4" w:space="0" w:color="000000"/>
              <w:right w:val="single" w:sz="4" w:space="0" w:color="000000"/>
            </w:tcBorders>
          </w:tcPr>
          <w:p w:rsidR="00764EB5" w:rsidRPr="00296D82" w:rsidRDefault="00DF13CC" w:rsidP="003D6B28">
            <w:pPr>
              <w:ind w:firstLine="0"/>
              <w:jc w:val="left"/>
              <w:rPr>
                <w:color w:val="auto"/>
                <w:spacing w:val="-4"/>
              </w:rPr>
            </w:pPr>
            <w:r w:rsidRPr="00296D82">
              <w:rPr>
                <w:color w:val="auto"/>
                <w:spacing w:val="-4"/>
                <w:lang w:val="fr-FR"/>
              </w:rPr>
              <w:lastRenderedPageBreak/>
              <w:t xml:space="preserve">Ajzen (1991); Islam et al. (2022); Trần Xuân Lượng (2021); </w:t>
            </w:r>
            <w:r w:rsidRPr="00296D82">
              <w:rPr>
                <w:color w:val="auto"/>
                <w:spacing w:val="-4"/>
                <w:lang w:val="fr-FR"/>
              </w:rPr>
              <w:lastRenderedPageBreak/>
              <w:t xml:space="preserve">Pham Dinh et al. </w:t>
            </w:r>
            <w:r w:rsidRPr="00296D82">
              <w:rPr>
                <w:color w:val="auto"/>
                <w:spacing w:val="-4"/>
              </w:rPr>
              <w:t>(2022)</w:t>
            </w:r>
          </w:p>
        </w:tc>
      </w:tr>
      <w:tr w:rsidR="00764EB5">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296D82">
            <w:pPr>
              <w:ind w:firstLine="0"/>
              <w:jc w:val="center"/>
              <w:rPr>
                <w:color w:val="auto"/>
              </w:rPr>
            </w:pPr>
            <w:r>
              <w:rPr>
                <w:color w:val="auto"/>
              </w:rPr>
              <w:lastRenderedPageBreak/>
              <w:t>Giá trị cảm nhận căn hộ</w:t>
            </w:r>
          </w:p>
        </w:tc>
        <w:tc>
          <w:tcPr>
            <w:tcW w:w="2810"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jc w:val="left"/>
              <w:rPr>
                <w:color w:val="auto"/>
              </w:rPr>
            </w:pPr>
            <w:r>
              <w:rPr>
                <w:color w:val="auto"/>
              </w:rPr>
              <w:t>Đánh giá tổng hợp về lợi ích – chi phí; trong thang đo nghiên cứu còn phản ánh vị trí, pháp lý, uy tín chủ đầu tư, phong thủy và đánh giá tổng thể</w:t>
            </w:r>
          </w:p>
        </w:tc>
        <w:tc>
          <w:tcPr>
            <w:tcW w:w="2384"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jc w:val="left"/>
              <w:rPr>
                <w:color w:val="auto"/>
              </w:rPr>
            </w:pPr>
            <w:r>
              <w:rPr>
                <w:color w:val="auto"/>
              </w:rPr>
              <w:t>Phản ánh mức độ căn hộ được khách hàng đánh giá là có giá trị/đáng mua; được kiểm định như một biến tiền đề của Ý định mua</w:t>
            </w:r>
          </w:p>
        </w:tc>
        <w:tc>
          <w:tcPr>
            <w:tcW w:w="2426"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jc w:val="left"/>
              <w:rPr>
                <w:color w:val="auto"/>
              </w:rPr>
            </w:pPr>
            <w:r>
              <w:rPr>
                <w:color w:val="auto"/>
              </w:rPr>
              <w:t>Zeithaml (1988); Sweeney and Soutar (2001); Tan and Goh (2018); Pham Dinh et al. (2022)</w:t>
            </w:r>
          </w:p>
        </w:tc>
      </w:tr>
    </w:tbl>
    <w:p w:rsidR="00764EB5" w:rsidRDefault="00DF13CC" w:rsidP="003D6B28">
      <w:pPr>
        <w:jc w:val="right"/>
        <w:rPr>
          <w:color w:val="auto"/>
        </w:rPr>
      </w:pPr>
      <w:r>
        <w:rPr>
          <w:i/>
          <w:iCs/>
          <w:color w:val="auto"/>
        </w:rPr>
        <w:t>(Nguồn: Tác giả tổng hợp và hệ thống hóa từ nhiều nguồn)</w:t>
      </w:r>
    </w:p>
    <w:p w:rsidR="00764EB5" w:rsidRDefault="00DF13CC" w:rsidP="00021C6B">
      <w:pPr>
        <w:spacing w:line="353" w:lineRule="auto"/>
        <w:rPr>
          <w:color w:val="auto"/>
        </w:rPr>
      </w:pPr>
      <w:r>
        <w:rPr>
          <w:color w:val="auto"/>
        </w:rPr>
        <w:t>Về ranh giới khái niệm, Thái độ phản ánh đánh giá tích cực hoặc tiêu cực đối với hành vi mua căn hộ, trong khi Giá trị cảm nhận phản ánh đánh giá tổng hợp về mức độ “đáng mua” của căn hộ trên cơ sở các lợi ích và thuộc tính mà khách hàng nhận biết. Do thang đo GTCN bao gồm các thuộc tính đa dạng, kết quả chỉ được diễn giải ở cấp độ đánh giá tổng hợp; luận án không suy ra tác động độc lập của vị trí, pháp lý, uy tín chủ đầu tư hoặc phong thủy. Việc xem xét GTCN theo mô hình tạo thành hoặc cấu trúc bậc cao được đề xuất cho nghiên cứu tiếp theo.</w:t>
      </w:r>
    </w:p>
    <w:p w:rsidR="00764EB5" w:rsidRDefault="00DF13CC" w:rsidP="00021C6B">
      <w:pPr>
        <w:pStyle w:val="Heading2"/>
        <w:spacing w:line="353" w:lineRule="auto"/>
      </w:pPr>
      <w:bookmarkStart w:id="269" w:name="_Toc234224106"/>
      <w:bookmarkStart w:id="270" w:name="_Toc241062445"/>
      <w:bookmarkStart w:id="271" w:name="_Toc241064367"/>
      <w:bookmarkStart w:id="272" w:name="_Toc241065300"/>
      <w:bookmarkStart w:id="273" w:name="_Toc241065511"/>
      <w:r>
        <w:t>2.4. Xây dựng mô hình nghiên cứu và đề xuất giả thuyết nghiên cứu</w:t>
      </w:r>
      <w:bookmarkEnd w:id="269"/>
      <w:bookmarkEnd w:id="270"/>
      <w:bookmarkEnd w:id="271"/>
      <w:bookmarkEnd w:id="272"/>
      <w:bookmarkEnd w:id="273"/>
    </w:p>
    <w:p w:rsidR="00764EB5" w:rsidRDefault="00DF13CC" w:rsidP="00021C6B">
      <w:pPr>
        <w:pStyle w:val="Heading3"/>
        <w:spacing w:line="353" w:lineRule="auto"/>
      </w:pPr>
      <w:bookmarkStart w:id="274" w:name="_Toc234224107"/>
      <w:bookmarkStart w:id="275" w:name="_Toc241062446"/>
      <w:bookmarkStart w:id="276" w:name="_Toc241064368"/>
      <w:bookmarkStart w:id="277" w:name="_Toc241065301"/>
      <w:bookmarkStart w:id="278" w:name="_Toc241065512"/>
      <w:r>
        <w:t>2.4.1. Cơ sở đề xuất mô hình</w:t>
      </w:r>
      <w:bookmarkEnd w:id="274"/>
      <w:bookmarkEnd w:id="275"/>
      <w:bookmarkEnd w:id="276"/>
      <w:bookmarkEnd w:id="277"/>
      <w:bookmarkEnd w:id="278"/>
    </w:p>
    <w:p w:rsidR="00764EB5" w:rsidRDefault="00DF13CC" w:rsidP="00021C6B">
      <w:pPr>
        <w:spacing w:line="353" w:lineRule="auto"/>
        <w:rPr>
          <w:color w:val="auto"/>
        </w:rPr>
      </w:pPr>
      <w:r>
        <w:rPr>
          <w:color w:val="auto"/>
        </w:rPr>
        <w:t>Việc xây dựng mô hình nghiên cứu trong luận án này là quá trình kế thừa, chọn lọc và tích hợp các kết quả nghiên cứu trước để hình thành cấu trúc phân tích phù hợp với bối cảnh căn hộ chung cư tại vùng Đông Nam Bộ. Mô hình được phát triển trên ba nền tảng chính: (i) Lý thuyết hành vi có kế hoạch (TPB); (ii) bằng chứng thực nghiệm từ các nghiên cứu trong nước và quốc tế; và (iii) các khoảng trống nghiên cứu đã được xác định ở Chương 1.</w:t>
      </w:r>
    </w:p>
    <w:p w:rsidR="00764EB5" w:rsidRDefault="00DF13CC" w:rsidP="00021C6B">
      <w:pPr>
        <w:spacing w:line="353" w:lineRule="auto"/>
        <w:rPr>
          <w:color w:val="auto"/>
        </w:rPr>
      </w:pPr>
      <w:r>
        <w:rPr>
          <w:color w:val="auto"/>
        </w:rPr>
        <w:t xml:space="preserve">Trước hết, Lý thuyết hành vi kế hoạch (TPB) của Icek Ajzen (1991) được lựa chọn làm khung lý thuyết cốt lõi cho nghiên cứu, bởi khả năng giải thích mối quan hệ giữa nhận thức và hành vi thông qua ba cấu phần cơ bản: thái độ đối với hành vi, chuẩn chủ quan và nhận thức kiểm soát hành vi. Đây là một trong những mô hình được sử dụng rộng rãi trong nghiên cứu hành vi tiêu dùng và đã được kiểm chứng trong nhiều lĩnh vực, bao gồm cả bất động sản. Tuy nhiên, TPB truyền thống chủ </w:t>
      </w:r>
      <w:r>
        <w:rPr>
          <w:color w:val="auto"/>
        </w:rPr>
        <w:lastRenderedPageBreak/>
        <w:t>yếu tập trung vào các yếu tố tâm lý và xã hội, trong khi chưa phản ánh đầy đủ các yếu tố đặc thù của thị trường bất động sản như pháp lý, tài chính, uy tín chủ đầu tư hay yếu tố văn hóa. Do đó, việc vận dụng TPB trong nghiên cứu này được thực hiện theo hướng mở rộng, trong đó các yếu tố đặc thù được tích hợp vào các cấu phần của mô hình nhằm nâng cao khả năng giải thích hành vi.</w:t>
      </w:r>
    </w:p>
    <w:p w:rsidR="00764EB5" w:rsidRDefault="00DF13CC" w:rsidP="00296D82">
      <w:pPr>
        <w:spacing w:line="353" w:lineRule="auto"/>
        <w:rPr>
          <w:color w:val="auto"/>
        </w:rPr>
      </w:pPr>
      <w:r>
        <w:rPr>
          <w:color w:val="auto"/>
        </w:rPr>
        <w:t>Bên cạnh nền tảng lý thuyết, các nghiên cứu trong nước cung cấp bằng chứng về tiêu chí lựa chọn, yếu tố pháp lý, vị trí và cơ chế hình thành ý định mua nhà ở đô thị (Hoàng Văn Cường và Nguyễn Thị Tùng Phương, 2017; Trần Xuân Lượng, 2021; Phạm Đình Hân, 2023). Pham Dinh et al. (2022) trực tiếp kiểm định TPB mở rộng đối với ý định mua căn hộ tại Việt Nam. Ở bình diện quốc tế, Tan and Goh (2018) và Islam et al. (2022) cho thấy việc mở rộng mô hình hành vi bằng giá trị cảm nhận, chất lượng sản phẩm hoặc khả năng tiếp cận tài chính có thể nâng cao khả năng giải thích theo bối cảnh. Vì vậy, luận án lựa chọn TPB làm khung nền và bổ sung GTCN, nhưng giới hạn các kết luận trong đúng các biến đã được mô hình hóa và kiểm định.</w:t>
      </w:r>
    </w:p>
    <w:p w:rsidR="00764EB5" w:rsidRDefault="00DF13CC" w:rsidP="00296D82">
      <w:pPr>
        <w:spacing w:line="353" w:lineRule="auto"/>
        <w:rPr>
          <w:color w:val="auto"/>
        </w:rPr>
      </w:pPr>
      <w:r>
        <w:rPr>
          <w:color w:val="auto"/>
        </w:rPr>
        <w:t>Đặc biệt, tổng quan nghiên cứu cho thấy các yếu tố như pháp lý, tài chính, uy tín chủ đầu tư và phong thủy thường được xem xét theo những cách tiếp cận khác nhau, trong khi việc tích hợp chúng vào một cấu trúc đánh giá tổng hợp vẫn chưa thống nhất. Đồng thời, vai trò của Giá trị cảm nhận như một biến mở rộng bổ sung cho các cấu phần TPB trong giải thích Ý định mua chưa được làm rõ đầy đủ trong bối cảnh vùng Đông Nam Bộ. Vì vậy, luận án lựa chọn TPB làm khung nền và bổ sung Giá trị cảm nhận căn hộ như một biến tiền đề của Ý định mua, phù hợp với cấu trúc mô hình thực nghiệm được kiểm định.</w:t>
      </w:r>
    </w:p>
    <w:p w:rsidR="00764EB5" w:rsidRDefault="00DF13CC" w:rsidP="00296D82">
      <w:pPr>
        <w:spacing w:line="353" w:lineRule="auto"/>
        <w:rPr>
          <w:color w:val="auto"/>
        </w:rPr>
      </w:pPr>
      <w:r>
        <w:rPr>
          <w:color w:val="auto"/>
        </w:rPr>
        <w:t>Từ các cơ sở lý thuyết và thực nghiệm trên, nghiên cứu này đề xuất hệ thống hóa các yếu tố ảnh hưởng đến ý định mua căn hộ chung cư thành bốn nhóm nhân tố chính, bao gồm: (i) thái độ đối với căn hộ chung cư, (ii) chuẩn chủ quan, (iii) nhận thức kiểm soát hành vi, và (iv) giá trị cảm nhận căn hộ.</w:t>
      </w:r>
    </w:p>
    <w:p w:rsidR="00764EB5" w:rsidRDefault="00DF13CC" w:rsidP="00296D82">
      <w:pPr>
        <w:spacing w:line="365" w:lineRule="auto"/>
        <w:rPr>
          <w:color w:val="auto"/>
          <w:spacing w:val="-2"/>
        </w:rPr>
      </w:pPr>
      <w:r>
        <w:rPr>
          <w:color w:val="auto"/>
        </w:rPr>
        <w:t xml:space="preserve">Trước hết, Thái độ đối với việc mua căn hộ chung cư được xem là một cấu phần cốt lõi của TPB, phản ánh mức độ đánh giá tích cực hay tiêu cực của khách hàng đối với hành vi mua. Trong nghiên cứu này, các thuộc tính như vị trí, tiện ích, môi trường sống, pháp lý, uy tín chủ đầu tư và phong thủy chỉ được sử dụng để diễn </w:t>
      </w:r>
      <w:r>
        <w:rPr>
          <w:color w:val="auto"/>
        </w:rPr>
        <w:lastRenderedPageBreak/>
        <w:t>giải bối cảnh hình thành đánh giá của khách hàng; chúng không được xem là các biến quan sát trực tiếp cấu thành thang đo Thái độ và cũng không được kiểm định như những biến độc lập riêng biệt.</w:t>
      </w:r>
    </w:p>
    <w:p w:rsidR="00764EB5" w:rsidRDefault="00DF13CC" w:rsidP="00296D82">
      <w:pPr>
        <w:spacing w:line="365" w:lineRule="auto"/>
        <w:rPr>
          <w:color w:val="auto"/>
          <w:spacing w:val="-2"/>
        </w:rPr>
      </w:pPr>
      <w:r>
        <w:rPr>
          <w:color w:val="auto"/>
        </w:rPr>
        <w:t>Thứ hai, chuẩn chủ quan phản ánh ảnh hưởng của các yếu tố xã hội đến ý định mua, bao gồm gia đình, bạn bè và xu hướng xã hội. Trong bối cảnh Việt Nam, nơi các quyết định tài sản thường mang tính tập thể và chịu ảnh hưởng mạnh từ gia đình, việc đưa chuẩn chủ quan vào mô hình là hoàn toàn phù hợp. Đồng thời, trong khu vực Đông Nam Bộ, sự lan tỏa của xu hướng sống trong các khu căn hộ hiện đại cũng góp phần tạo ra áp lực xã hội, ảnh hưởng đến quyết định của khách hàng.</w:t>
      </w:r>
    </w:p>
    <w:p w:rsidR="00764EB5" w:rsidRDefault="00DF13CC" w:rsidP="00296D82">
      <w:pPr>
        <w:spacing w:line="365" w:lineRule="auto"/>
        <w:rPr>
          <w:color w:val="auto"/>
        </w:rPr>
      </w:pPr>
      <w:r>
        <w:rPr>
          <w:color w:val="auto"/>
        </w:rPr>
        <w:t>Thứ ba, nhận thức kiểm soát hành vi được cụ thể hóa chủ yếu thông qua các yếu tố kinh tế – tài chính, như thu nhập, khả năng vay vốn và tiếp cận tín dụng. Đây là nhóm yếu tố phản ánh mức độ khách hàng cảm thấy họ có khả năng thực hiện hành vi mua căn hộ hay không. Trong điều kiện giá bất động sản tại Đông Nam Bộ ở mức cao, yếu tố này không chỉ đóng vai trò hỗ trợ mà còn là điều kiện tiên quyết để chuyển hóa ý định thành mức độ sẵn sàng hành động.</w:t>
      </w:r>
    </w:p>
    <w:p w:rsidR="00764EB5" w:rsidRDefault="00DF13CC" w:rsidP="00296D82">
      <w:pPr>
        <w:spacing w:line="365" w:lineRule="auto"/>
        <w:rPr>
          <w:color w:val="auto"/>
        </w:rPr>
      </w:pPr>
      <w:r>
        <w:rPr>
          <w:color w:val="auto"/>
        </w:rPr>
        <w:t>Cuối cùng, nghiên cứu bổ sung giá trị cảm nhận căn hộ như một nhóm nhân tố độc lập, nhằm phản ánh quá trình đánh giá tổng hợp của khách hàng về lợi ích và chi phí của căn hộ. Khác với thái độ – vốn phản ánh đánh giá chung đối với hành vi – giá trị cảm nhận tập trung vào việc so sánh giữa những gì khách hàng nhận được (vị trí, tiện ích, chất lượng sống, tiềm năng đầu tư) và những gì họ phải bỏ ra (giá cả, chi phí tài chính). Việc bổ sung yếu tố này giúp mô hình phản ánh tốt hơn cơ chế ra quyết định trong bối cảnh thị trường cạnh tranh, nơi khách hàng phải cân nhắc nhiều phương án trước khi lựa chọn.</w:t>
      </w:r>
    </w:p>
    <w:p w:rsidR="00764EB5" w:rsidRDefault="00DF13CC" w:rsidP="00296D82">
      <w:pPr>
        <w:spacing w:line="365" w:lineRule="auto"/>
        <w:rPr>
          <w:color w:val="auto"/>
        </w:rPr>
      </w:pPr>
      <w:r>
        <w:rPr>
          <w:color w:val="auto"/>
        </w:rPr>
        <w:t>Việc tích hợp bốn nhóm nhân tố trên vào mô hình nghiên cứu không chỉ đảm bảo tính kế thừa từ TPB mà còn mở rộng để phù hợp với đặc thù của thị trường căn hộ chung cư tại Việt Nam. Mô hình này cho phép giải thích hành vi khách hàng một cách toàn diện hơn, đồng thời tạo cơ sở vững chắc cho việc phát triển các giả thuyết nghiên cứu và kiểm định thực nghiệm ở các phần tiếp theo.</w:t>
      </w:r>
    </w:p>
    <w:p w:rsidR="00764EB5" w:rsidRDefault="00DF13CC" w:rsidP="00021C6B">
      <w:pPr>
        <w:pStyle w:val="Heading3"/>
      </w:pPr>
      <w:bookmarkStart w:id="279" w:name="_Toc234224108"/>
      <w:bookmarkStart w:id="280" w:name="_Toc241062447"/>
      <w:bookmarkStart w:id="281" w:name="_Toc241064369"/>
      <w:bookmarkStart w:id="282" w:name="_Toc241065302"/>
      <w:bookmarkStart w:id="283" w:name="_Toc241065513"/>
      <w:r>
        <w:lastRenderedPageBreak/>
        <w:t>2.4.2. Phát triển giả thuyết nghiên cứu</w:t>
      </w:r>
      <w:bookmarkEnd w:id="279"/>
      <w:bookmarkEnd w:id="280"/>
      <w:bookmarkEnd w:id="281"/>
      <w:bookmarkEnd w:id="282"/>
      <w:bookmarkEnd w:id="283"/>
    </w:p>
    <w:p w:rsidR="00764EB5" w:rsidRDefault="00DF13CC" w:rsidP="003D6B28">
      <w:pPr>
        <w:rPr>
          <w:color w:val="auto"/>
        </w:rPr>
      </w:pPr>
      <w:r>
        <w:rPr>
          <w:color w:val="auto"/>
        </w:rPr>
        <w:t>Trên cơ sở tổng hợp các lý thuyết nền tảng, đặc biệt là Theory of Planned Behavior (TPB), cùng với các lý thuyết bổ trợ về hành vi tiêu dùng, giá trị cảm nhận, tín hiệu và văn hóa tiêu dùng, nghiên cứu này xây dựng các giả thuyết nhằm kiểm định tác động của Thái độ, Chuẩn chủ quan, Nhận thức kiểm soát hành vi và Giá trị cảm nhận căn hộ đến Ý định mua, đồng thời kiểm định tác động của Ý định mua đến mức độ sẵn sàng ra quyết định mua căn hộ chung cư.</w:t>
      </w:r>
    </w:p>
    <w:p w:rsidR="00764EB5" w:rsidRDefault="00DF13CC" w:rsidP="003D6B28">
      <w:pPr>
        <w:rPr>
          <w:color w:val="auto"/>
        </w:rPr>
      </w:pPr>
      <w:r>
        <w:rPr>
          <w:color w:val="auto"/>
        </w:rPr>
        <w:t>Theo TPB, ý định hành vi được xem là yếu tố dự báo trực tiếp của mức độ sẵn sàng hành động, và chịu ảnh hưởng bởi ba thành phần chính: thái độ, chuẩn chủ quan và nhận thức kiểm soát hành vi (Ajzen, 1991). Tuy nhiên, trong bối cảnh bất động sản – nơi các quyết định mang tính phức tạp và có giá trị cao – việc bổ sung yếu tố giá trị cảm nhận là cần thiết để phản ánh đầy đủ hơn cơ chế đánh giá của khách hàng. Trên cơ sở đó, nghiên cứu đề xuất năm giả thuyết như sau:</w:t>
      </w:r>
    </w:p>
    <w:p w:rsidR="00764EB5" w:rsidRDefault="00DF13CC" w:rsidP="00021C6B">
      <w:pPr>
        <w:pStyle w:val="Heading4"/>
      </w:pPr>
      <w:r>
        <w:t>2.4.2.1. Thái độ đối với căn hộ chung cư và ý định mua</w:t>
      </w:r>
    </w:p>
    <w:p w:rsidR="00764EB5" w:rsidRPr="00021C6B" w:rsidRDefault="00DF13CC" w:rsidP="003D6B28">
      <w:pPr>
        <w:rPr>
          <w:color w:val="auto"/>
          <w:spacing w:val="-2"/>
        </w:rPr>
      </w:pPr>
      <w:r>
        <w:rPr>
          <w:color w:val="auto"/>
        </w:rPr>
        <w:t xml:space="preserve">Thái độ đối với hành vi phản ánh mức độ đánh giá tích cực hoặc tiêu cực của cá nhân đối với việc thực hiện hành vi đó (Ajzen, 1991). Trong bối cảnh mua căn hộ chung cư, thái độ của khách hàng được hình thành dựa trên nhận thức về các yếu tố như vị trí, tiện ích, môi trường sống, pháp lý, uy tín chủ đầu tư và yếu tố văn hóa – </w:t>
      </w:r>
      <w:r w:rsidRPr="00021C6B">
        <w:rPr>
          <w:color w:val="auto"/>
          <w:spacing w:val="-2"/>
        </w:rPr>
        <w:t>phong thủy.</w:t>
      </w:r>
    </w:p>
    <w:p w:rsidR="00764EB5" w:rsidRPr="00021C6B" w:rsidRDefault="00DF13CC" w:rsidP="003D6B28">
      <w:pPr>
        <w:rPr>
          <w:color w:val="auto"/>
          <w:spacing w:val="-2"/>
        </w:rPr>
      </w:pPr>
      <w:r w:rsidRPr="00021C6B">
        <w:rPr>
          <w:color w:val="auto"/>
          <w:spacing w:val="-2"/>
        </w:rPr>
        <w:t>Các nghiên cứu trước cho thấy thái độ là một tiền đề quan trọng của ý định hành vi theo TPB (Ajzen, 1991; Armitage and Conner, 2001). Trong lĩnh vực nhà ở, Tan và Goh (2018) ghi nhận mối liên hệ giữa thái độ và ý định mua nhà ở xanh; tại Việt Nam, Pham Dinh et al. (2022) cũng cho thấy thái độ có tác động tích cực đến ý định mua căn hộ. Đây là cơ sở thực nghiệm để đề xuất mối quan hệ TD → YDM trong mô hình.</w:t>
      </w:r>
    </w:p>
    <w:p w:rsidR="00764EB5" w:rsidRDefault="00DF13CC" w:rsidP="003D6B28">
      <w:pPr>
        <w:rPr>
          <w:color w:val="auto"/>
        </w:rPr>
      </w:pPr>
      <w:r>
        <w:rPr>
          <w:color w:val="auto"/>
        </w:rPr>
        <w:t>Trong bối cảnh Đông Nam Bộ, nơi thị trường căn hộ có mức độ cạnh tranh cao và khách hàng có nhiều lựa chọn, thái độ tích cực đóng vai trò quan trọng trong việc thúc đẩy ý định mua.</w:t>
      </w:r>
    </w:p>
    <w:p w:rsidR="00764EB5" w:rsidRDefault="00DF13CC" w:rsidP="00296D82">
      <w:pPr>
        <w:spacing w:line="348" w:lineRule="auto"/>
        <w:rPr>
          <w:i/>
          <w:iCs/>
          <w:color w:val="auto"/>
        </w:rPr>
      </w:pPr>
      <w:r>
        <w:rPr>
          <w:i/>
          <w:iCs/>
          <w:color w:val="auto"/>
        </w:rPr>
        <w:t>Giả thuyết H1: Thái độ đối với căn hộ chung cư có ảnh hưởng tích cực đến ý định mua căn hộ chung cư.</w:t>
      </w:r>
    </w:p>
    <w:p w:rsidR="00764EB5" w:rsidRDefault="00DF13CC" w:rsidP="00021C6B">
      <w:pPr>
        <w:pStyle w:val="Heading4"/>
      </w:pPr>
      <w:r>
        <w:lastRenderedPageBreak/>
        <w:t>2.4.2.2. Chuẩn chủ quan và ý định mua</w:t>
      </w:r>
    </w:p>
    <w:p w:rsidR="00764EB5" w:rsidRDefault="00DF13CC" w:rsidP="00296D82">
      <w:pPr>
        <w:spacing w:line="348" w:lineRule="auto"/>
        <w:rPr>
          <w:color w:val="auto"/>
        </w:rPr>
      </w:pPr>
      <w:r>
        <w:rPr>
          <w:color w:val="auto"/>
        </w:rPr>
        <w:t>Chuẩn chủ quan phản ánh mức độ ảnh hưởng của các yếu tố xã hội như gia đình, bạn bè và cộng đồng đến quyết định của cá nhân (Ajzen, 1991). Trong lĩnh vực bất động sản, quyết định mua căn hộ thường không phải là quyết định cá nhân đơn lẻ mà mang tính tập thể, đặc biệt trong bối cảnh văn hóa Á Đông.</w:t>
      </w:r>
    </w:p>
    <w:p w:rsidR="00764EB5" w:rsidRDefault="00DF13CC" w:rsidP="00021C6B">
      <w:pPr>
        <w:spacing w:line="341" w:lineRule="auto"/>
        <w:rPr>
          <w:color w:val="auto"/>
        </w:rPr>
      </w:pPr>
      <w:r>
        <w:rPr>
          <w:color w:val="auto"/>
        </w:rPr>
        <w:t>Levy, Murphy and Lee (2008) cho rằng quyết định mua nhà là kết quả của quá trình tương tác giữa các thành viên gia đình. Trong nghiên cứu về ý định mua căn hộ tại Việt Nam, Pham Dinh et al. (2022) cũng xác nhận vai trò của chuẩn chủ quan. Do đó, ảnh hưởng của gia đình, người thân và nhóm tham khảo được kỳ vọng góp phần hình thành ý định mua căn hộ.</w:t>
      </w:r>
    </w:p>
    <w:p w:rsidR="00764EB5" w:rsidRDefault="00DF13CC" w:rsidP="00021C6B">
      <w:pPr>
        <w:spacing w:line="341" w:lineRule="auto"/>
        <w:rPr>
          <w:color w:val="auto"/>
        </w:rPr>
      </w:pPr>
      <w:r>
        <w:rPr>
          <w:color w:val="auto"/>
        </w:rPr>
        <w:t>Đối với khu vực Đông Nam Bộ, nơi tập trung đông dân cư và có sự đa dạng về nhóm khách hàng, các yếu tố xã hội và xu hướng thị trường đóng vai trò quan trọng trong việc hình thành ý định mua căn hộ.</w:t>
      </w:r>
    </w:p>
    <w:p w:rsidR="00764EB5" w:rsidRDefault="00DF13CC" w:rsidP="00021C6B">
      <w:pPr>
        <w:spacing w:line="341" w:lineRule="auto"/>
        <w:rPr>
          <w:i/>
          <w:iCs/>
          <w:color w:val="auto"/>
        </w:rPr>
      </w:pPr>
      <w:r>
        <w:rPr>
          <w:i/>
          <w:iCs/>
          <w:color w:val="auto"/>
        </w:rPr>
        <w:t>Giả thuyết H2: Chuẩn chủ quan có ảnh hưởng tích cực đến ý định mua căn hộ chung cư.</w:t>
      </w:r>
    </w:p>
    <w:p w:rsidR="00764EB5" w:rsidRDefault="00DF13CC" w:rsidP="00021C6B">
      <w:pPr>
        <w:pStyle w:val="Heading4"/>
        <w:spacing w:line="341" w:lineRule="auto"/>
      </w:pPr>
      <w:r>
        <w:t>2.4.2.3. Nhận thức kiểm soát hành vi và ý định mua</w:t>
      </w:r>
    </w:p>
    <w:p w:rsidR="00764EB5" w:rsidRDefault="00DF13CC" w:rsidP="00021C6B">
      <w:pPr>
        <w:spacing w:line="341" w:lineRule="auto"/>
        <w:rPr>
          <w:color w:val="auto"/>
        </w:rPr>
      </w:pPr>
      <w:r>
        <w:rPr>
          <w:color w:val="auto"/>
        </w:rPr>
        <w:t>Nhận thức kiểm soát hành vi phản ánh mức độ mà cá nhân tin rằng họ có khả năng thực hiện hành vi, dựa trên các nguồn lực và điều kiện sẵn có (Ajzen, 1991). Trong nghiên cứu này, yếu tố này được cụ thể hóa thông qua khả năng tài chính, thu nhập, khả năng vay vốn và tiếp cận tín dụng.</w:t>
      </w:r>
    </w:p>
    <w:p w:rsidR="00764EB5" w:rsidRPr="00021C6B" w:rsidRDefault="00DF13CC" w:rsidP="00021C6B">
      <w:pPr>
        <w:spacing w:line="341" w:lineRule="auto"/>
        <w:rPr>
          <w:color w:val="auto"/>
          <w:spacing w:val="-2"/>
        </w:rPr>
      </w:pPr>
      <w:r w:rsidRPr="00021C6B">
        <w:rPr>
          <w:color w:val="auto"/>
          <w:spacing w:val="-2"/>
        </w:rPr>
        <w:t>Các nghiên cứu thực nghiệm cho thấy nhận thức về khả năng kiểm soát nguồn lực và khả năng tiếp cận tài chính có liên hệ với ý định mua. Islam et al. (2022) đưa khả năng tiếp cận nguồn tiền vào mô hình ý định mua căn hộ; Trần Xuân Lượng (2021) và Pham Dinh et al. (2022) cũng cung cấp bằng chứng phù hợp trong bối cảnh người mua nhà/căn hộ tại Việt Nam. Đây là cơ sở để đề xuất mối quan hệ NTHV → YDM.</w:t>
      </w:r>
    </w:p>
    <w:p w:rsidR="00764EB5" w:rsidRDefault="00DF13CC" w:rsidP="00021C6B">
      <w:pPr>
        <w:spacing w:line="341" w:lineRule="auto"/>
        <w:rPr>
          <w:color w:val="auto"/>
        </w:rPr>
      </w:pPr>
      <w:r>
        <w:rPr>
          <w:color w:val="auto"/>
        </w:rPr>
        <w:t>Trong bối cảnh Đông Nam Bộ, nơi giá căn hộ cao và phụ thuộc nhiều vào tín dụng, nhận thức kiểm soát hành vi đóng vai trò quyết định trong việc chuyển hóa nhu cầu thành ý định mua.</w:t>
      </w:r>
    </w:p>
    <w:p w:rsidR="00764EB5" w:rsidRDefault="00DF13CC" w:rsidP="00021C6B">
      <w:pPr>
        <w:spacing w:line="341" w:lineRule="auto"/>
        <w:rPr>
          <w:i/>
          <w:iCs/>
          <w:color w:val="auto"/>
        </w:rPr>
      </w:pPr>
      <w:r>
        <w:rPr>
          <w:i/>
          <w:iCs/>
          <w:color w:val="auto"/>
        </w:rPr>
        <w:t>Giả thuyết H3: Nhận thức kiểm soát hành vi có ảnh hưởng tích cực đến ý định mua căn hộ chung cư.</w:t>
      </w:r>
    </w:p>
    <w:p w:rsidR="00764EB5" w:rsidRDefault="00DF13CC" w:rsidP="00021C6B">
      <w:pPr>
        <w:pStyle w:val="Heading4"/>
        <w:spacing w:line="341" w:lineRule="auto"/>
      </w:pPr>
      <w:r>
        <w:lastRenderedPageBreak/>
        <w:t>2.4.2.4. Giá trị cảm nhận căn hộ và ý định mua</w:t>
      </w:r>
    </w:p>
    <w:p w:rsidR="00764EB5" w:rsidRDefault="00DF13CC" w:rsidP="00021C6B">
      <w:pPr>
        <w:spacing w:line="341" w:lineRule="auto"/>
        <w:rPr>
          <w:color w:val="auto"/>
        </w:rPr>
      </w:pPr>
      <w:r>
        <w:rPr>
          <w:color w:val="auto"/>
        </w:rPr>
        <w:t>Giá trị cảm nhận phản ánh sự đánh giá tổng thể của khách hàng về lợi ích và chi phí của sản phẩm (Zeithaml, 1988). Trong lĩnh vực căn hộ chung cư, giá trị cảm nhận bao gồm giá trị chức năng, cảm xúc, xã hội và đầu tư.</w:t>
      </w:r>
    </w:p>
    <w:p w:rsidR="00764EB5" w:rsidRPr="00296D82" w:rsidRDefault="00DF13CC" w:rsidP="00021C6B">
      <w:pPr>
        <w:spacing w:line="341" w:lineRule="auto"/>
        <w:rPr>
          <w:color w:val="auto"/>
          <w:spacing w:val="-4"/>
        </w:rPr>
      </w:pPr>
      <w:r w:rsidRPr="00296D82">
        <w:rPr>
          <w:color w:val="auto"/>
          <w:spacing w:val="-4"/>
        </w:rPr>
        <w:t>Nghiên cứu của Tan and Goh (2018) cho thấy giá trị cảm nhận có ảnh hưởng đáng kể đến ý định mua bất động sản. Khi khách hàng nhận thấy căn hộ mang lại giá trị cao so với chi phí bỏ ra, họ có xu hướng hình thành ý định mua mạnh mẽ hơn.</w:t>
      </w:r>
    </w:p>
    <w:p w:rsidR="00764EB5" w:rsidRDefault="00DF13CC" w:rsidP="003D6B28">
      <w:pPr>
        <w:rPr>
          <w:color w:val="auto"/>
        </w:rPr>
      </w:pPr>
      <w:r>
        <w:rPr>
          <w:color w:val="auto"/>
        </w:rPr>
        <w:t>Trong bối cảnh Đông Nam Bộ, nơi thị trường có sự cạnh tranh cao và giá bất động sản biến động mạnh, khách hàng thường đánh giá tổng hợp các yếu tố để xác định giá trị của căn hộ trước khi ra quyết định.</w:t>
      </w:r>
    </w:p>
    <w:p w:rsidR="00764EB5" w:rsidRDefault="00DF13CC" w:rsidP="00021C6B">
      <w:pPr>
        <w:spacing w:line="336" w:lineRule="auto"/>
        <w:rPr>
          <w:i/>
          <w:iCs/>
          <w:color w:val="auto"/>
        </w:rPr>
      </w:pPr>
      <w:r>
        <w:rPr>
          <w:i/>
          <w:iCs/>
          <w:color w:val="auto"/>
        </w:rPr>
        <w:t>Giả thuyết H4: Giá trị cảm nhận căn hộ có ảnh hưởng tích cực đến ý định mua căn hộ chung cư.</w:t>
      </w:r>
    </w:p>
    <w:p w:rsidR="00764EB5" w:rsidRDefault="00DF13CC" w:rsidP="00021C6B">
      <w:pPr>
        <w:pStyle w:val="Heading4"/>
        <w:spacing w:line="336" w:lineRule="auto"/>
      </w:pPr>
      <w:r>
        <w:t>2.4.2.5. Ý định mua và mức độ sẵn sàng ra quyết định mua căn hộ chung cư</w:t>
      </w:r>
    </w:p>
    <w:p w:rsidR="00764EB5" w:rsidRDefault="00DF13CC" w:rsidP="00021C6B">
      <w:pPr>
        <w:spacing w:line="336" w:lineRule="auto"/>
        <w:rPr>
          <w:color w:val="auto"/>
        </w:rPr>
      </w:pPr>
      <w:r>
        <w:rPr>
          <w:color w:val="auto"/>
        </w:rPr>
        <w:t>Theo TPB, ý định hành vi là yếu tố dự báo trực tiếp và mạnh nhất của mức độ sẵn sàng hành động (Ajzen, 1991). Ý định mua phản ánh mức độ sẵn sàng của khách hàng trong việc thực hiện hành vi mua căn hộ.</w:t>
      </w:r>
    </w:p>
    <w:p w:rsidR="00764EB5" w:rsidRPr="00296D82" w:rsidRDefault="00DF13CC" w:rsidP="00021C6B">
      <w:pPr>
        <w:spacing w:line="336" w:lineRule="auto"/>
        <w:rPr>
          <w:color w:val="auto"/>
          <w:spacing w:val="-4"/>
        </w:rPr>
      </w:pPr>
      <w:r w:rsidRPr="00296D82">
        <w:rPr>
          <w:color w:val="auto"/>
          <w:spacing w:val="-4"/>
        </w:rPr>
        <w:t>Nhiều nghiên cứu đã khẳng định mối quan hệ tích cực giữa ý định và mức độ sẵn sàng hành động. Ajzen (1991) cho rằng khi ý định mạnh, khả năng thực hiện hành vi sẽ cao hơn. Trong lĩnh vực bất động sản, Islam et al. (2022) cũng chứng minh rằng ý định mua có ảnh hưởng đáng kể đến mức độ sẵn sàng ra quyết định mua.</w:t>
      </w:r>
    </w:p>
    <w:p w:rsidR="00764EB5" w:rsidRDefault="00DF13CC" w:rsidP="00021C6B">
      <w:pPr>
        <w:spacing w:line="336" w:lineRule="auto"/>
        <w:rPr>
          <w:color w:val="auto"/>
        </w:rPr>
      </w:pPr>
      <w:r>
        <w:rPr>
          <w:color w:val="auto"/>
        </w:rPr>
        <w:t>Tuy nhiên, trong bối cảnh thực tế, mối quan hệ này có thể bị ảnh hưởng bởi các rào cản như tài chính hoặc pháp lý. Dù vậy, ý định vẫn được xem là yếu tố trung gian quan trọng giữa nhận thức và hành vi.</w:t>
      </w:r>
    </w:p>
    <w:p w:rsidR="00764EB5" w:rsidRDefault="00DF13CC" w:rsidP="00021C6B">
      <w:pPr>
        <w:spacing w:line="336" w:lineRule="auto"/>
        <w:rPr>
          <w:i/>
          <w:iCs/>
          <w:color w:val="auto"/>
        </w:rPr>
      </w:pPr>
      <w:r>
        <w:rPr>
          <w:color w:val="auto"/>
        </w:rPr>
        <w:t>Giả thuyết H5: Ý định mua căn hộ chung cư có ảnh hưởng tích cực đến mức độ sẵn sàng ra quyết định mua căn hộ chung cư.</w:t>
      </w:r>
    </w:p>
    <w:p w:rsidR="00764EB5" w:rsidRDefault="00DF13CC" w:rsidP="00021C6B">
      <w:pPr>
        <w:pStyle w:val="Heading3"/>
        <w:spacing w:line="336" w:lineRule="auto"/>
      </w:pPr>
      <w:bookmarkStart w:id="284" w:name="_Toc234224109"/>
      <w:bookmarkStart w:id="285" w:name="_Toc241062448"/>
      <w:bookmarkStart w:id="286" w:name="_Toc241064370"/>
      <w:bookmarkStart w:id="287" w:name="_Toc241065303"/>
      <w:bookmarkStart w:id="288" w:name="_Toc241065514"/>
      <w:r>
        <w:t>2.4.3. Mô hình nghiên cứu đề xuất</w:t>
      </w:r>
      <w:bookmarkEnd w:id="284"/>
      <w:bookmarkEnd w:id="285"/>
      <w:bookmarkEnd w:id="286"/>
      <w:bookmarkEnd w:id="287"/>
      <w:bookmarkEnd w:id="288"/>
    </w:p>
    <w:p w:rsidR="00764EB5" w:rsidRDefault="00DF13CC" w:rsidP="00021C6B">
      <w:pPr>
        <w:spacing w:line="336" w:lineRule="auto"/>
        <w:rPr>
          <w:color w:val="auto"/>
        </w:rPr>
      </w:pPr>
      <w:r>
        <w:rPr>
          <w:color w:val="auto"/>
        </w:rPr>
        <w:t xml:space="preserve">Trên cơ sở kế thừa và mở rộng lý thuyết TPB, kết hợp với các lý thuyết bổ trợ và kết quả tổng quan nghiên cứu trong và ngoài nước, nghiên cứu này đề xuất một mô hình nhằm giải thích hành vi khách hàng mua căn hộ chung cư trong bối cảnh thị trường Việt Nam, đặc biệt là khu vực Đông Nam Bộ. </w:t>
      </w:r>
    </w:p>
    <w:p w:rsidR="00764EB5" w:rsidRDefault="00DF13CC" w:rsidP="00021C6B">
      <w:pPr>
        <w:jc w:val="center"/>
        <w:rPr>
          <w:color w:val="auto"/>
        </w:rPr>
      </w:pPr>
      <w:r>
        <w:rPr>
          <w:noProof/>
          <w:color w:val="auto"/>
        </w:rPr>
        <w:lastRenderedPageBreak/>
        <w:drawing>
          <wp:inline distT="0" distB="0" distL="0" distR="0" wp14:anchorId="7F1248D6" wp14:editId="7B8141F5">
            <wp:extent cx="3221665" cy="26724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rotWithShape="1">
                    <a:blip r:embed="rId16"/>
                    <a:srcRect t="4581" b="9461"/>
                    <a:stretch/>
                  </pic:blipFill>
                  <pic:spPr bwMode="auto">
                    <a:xfrm>
                      <a:off x="0" y="0"/>
                      <a:ext cx="3281328" cy="2721972"/>
                    </a:xfrm>
                    <a:prstGeom prst="rect">
                      <a:avLst/>
                    </a:prstGeom>
                    <a:ln>
                      <a:noFill/>
                    </a:ln>
                    <a:extLst>
                      <a:ext uri="{53640926-AAD7-44D8-BBD7-CCE9431645EC}">
                        <a14:shadowObscured xmlns:a14="http://schemas.microsoft.com/office/drawing/2010/main"/>
                      </a:ext>
                    </a:extLst>
                  </pic:spPr>
                </pic:pic>
              </a:graphicData>
            </a:graphic>
          </wp:inline>
        </w:drawing>
      </w:r>
    </w:p>
    <w:p w:rsidR="00764EB5" w:rsidRDefault="00DF13CC" w:rsidP="00021C6B">
      <w:pPr>
        <w:spacing w:line="240" w:lineRule="auto"/>
        <w:jc w:val="center"/>
        <w:rPr>
          <w:color w:val="auto"/>
        </w:rPr>
      </w:pPr>
      <w:r>
        <w:rPr>
          <w:b/>
          <w:color w:val="auto"/>
        </w:rPr>
        <w:t>Hình 2.1. Mô hình nghiên cứu đề xuất</w:t>
      </w:r>
    </w:p>
    <w:p w:rsidR="00764EB5" w:rsidRDefault="00DF13CC" w:rsidP="00021C6B">
      <w:pPr>
        <w:spacing w:line="240" w:lineRule="auto"/>
        <w:jc w:val="center"/>
        <w:rPr>
          <w:color w:val="auto"/>
        </w:rPr>
      </w:pPr>
      <w:r>
        <w:rPr>
          <w:i/>
          <w:color w:val="auto"/>
        </w:rPr>
        <w:t>(Nguồn: Tác giả phát triển từ Ajzen (1991), Pham Dinh et al. (2022) và kết quả nghiên cứu định tính)</w:t>
      </w:r>
    </w:p>
    <w:p w:rsidR="00764EB5" w:rsidRDefault="00DF13CC" w:rsidP="003D6B28">
      <w:pPr>
        <w:rPr>
          <w:color w:val="auto"/>
        </w:rPr>
      </w:pPr>
      <w:r>
        <w:rPr>
          <w:b/>
          <w:bCs/>
          <w:color w:val="auto"/>
        </w:rPr>
        <w:t>Cấu trúc mô hình gồm:</w:t>
      </w:r>
    </w:p>
    <w:p w:rsidR="00764EB5" w:rsidRDefault="00DF13CC" w:rsidP="003D6B28">
      <w:pPr>
        <w:numPr>
          <w:ilvl w:val="0"/>
          <w:numId w:val="5"/>
        </w:numPr>
        <w:rPr>
          <w:color w:val="auto"/>
        </w:rPr>
      </w:pPr>
      <w:r>
        <w:rPr>
          <w:b/>
          <w:bCs/>
          <w:color w:val="auto"/>
        </w:rPr>
        <w:t>4 biến độc lập:</w:t>
      </w:r>
    </w:p>
    <w:p w:rsidR="00764EB5" w:rsidRDefault="00DF13CC" w:rsidP="003D6B28">
      <w:pPr>
        <w:ind w:left="720" w:firstLine="0"/>
        <w:jc w:val="left"/>
        <w:rPr>
          <w:color w:val="auto"/>
        </w:rPr>
      </w:pPr>
      <w:r>
        <w:rPr>
          <w:color w:val="auto"/>
        </w:rPr>
        <w:t>(1) Thái độ đối với căn hộ chung cư</w:t>
      </w:r>
      <w:r>
        <w:rPr>
          <w:color w:val="auto"/>
        </w:rPr>
        <w:br/>
        <w:t>(2) Chuẩn chủ quan</w:t>
      </w:r>
      <w:r>
        <w:rPr>
          <w:color w:val="auto"/>
        </w:rPr>
        <w:br/>
        <w:t>(3) Nhận thức kiểm soát hành vi</w:t>
      </w:r>
      <w:r>
        <w:rPr>
          <w:color w:val="auto"/>
        </w:rPr>
        <w:br/>
        <w:t>(4) Giá trị cảm nhận căn hộ</w:t>
      </w:r>
    </w:p>
    <w:p w:rsidR="00764EB5" w:rsidRDefault="00DF13CC" w:rsidP="003D6B28">
      <w:pPr>
        <w:numPr>
          <w:ilvl w:val="0"/>
          <w:numId w:val="5"/>
        </w:numPr>
        <w:jc w:val="left"/>
        <w:rPr>
          <w:color w:val="auto"/>
        </w:rPr>
      </w:pPr>
      <w:r>
        <w:rPr>
          <w:color w:val="auto"/>
        </w:rPr>
        <w:t>1 biến trung gian: Ý định mua căn hộ chung cư</w:t>
      </w:r>
    </w:p>
    <w:p w:rsidR="00764EB5" w:rsidRDefault="00DF13CC" w:rsidP="003D6B28">
      <w:pPr>
        <w:numPr>
          <w:ilvl w:val="0"/>
          <w:numId w:val="5"/>
        </w:numPr>
        <w:jc w:val="left"/>
        <w:rPr>
          <w:color w:val="auto"/>
        </w:rPr>
      </w:pPr>
      <w:r>
        <w:rPr>
          <w:color w:val="auto"/>
        </w:rPr>
        <w:t>1 biến phụ thuộc: Mức độ sẵn sàng ra quyết định mua căn hộ chung cư</w:t>
      </w:r>
    </w:p>
    <w:p w:rsidR="00764EB5" w:rsidRDefault="00DF13CC" w:rsidP="00296D82">
      <w:pPr>
        <w:spacing w:line="353" w:lineRule="auto"/>
        <w:rPr>
          <w:color w:val="auto"/>
        </w:rPr>
      </w:pPr>
      <w:r>
        <w:rPr>
          <w:color w:val="auto"/>
        </w:rPr>
        <w:t>Mô hình nghiên cứu đề xuất được xây dựng dựa trên logic cốt lõi của TPB, trong đó ý định hành vi đóng vai trò trung gian giữa nhận thức và mức độ sẵn sàng hành động. Tuy nhiên, mô hình đã được mở rộng nhằm phản ánh đặc thù của thị trường căn hộ chung cư thông qua việc tích hợp thêm biến giá trị cảm nhận căn hộ.</w:t>
      </w:r>
    </w:p>
    <w:p w:rsidR="00764EB5" w:rsidRDefault="00DF13CC" w:rsidP="00296D82">
      <w:pPr>
        <w:spacing w:line="353" w:lineRule="auto"/>
        <w:rPr>
          <w:color w:val="auto"/>
        </w:rPr>
      </w:pPr>
      <w:r>
        <w:rPr>
          <w:color w:val="auto"/>
        </w:rPr>
        <w:t>Trước hết, ba yếu tố truyền thống của TPB bao gồm thái độ đối với căn hộ chung cư, chuẩn chủ quan và nhận thức kiểm soát hành vi được giả định có ảnh hưởng trực tiếp đến ý định mua căn hộ chung cư.</w:t>
      </w:r>
    </w:p>
    <w:p w:rsidR="00764EB5" w:rsidRPr="00021C6B" w:rsidRDefault="00DF13CC" w:rsidP="00296D82">
      <w:pPr>
        <w:spacing w:line="353" w:lineRule="auto"/>
        <w:rPr>
          <w:color w:val="auto"/>
          <w:spacing w:val="-2"/>
        </w:rPr>
      </w:pPr>
      <w:r w:rsidRPr="00021C6B">
        <w:rPr>
          <w:color w:val="auto"/>
          <w:spacing w:val="-2"/>
        </w:rPr>
        <w:t xml:space="preserve">Cụ thể, thái độ đối với căn hộ chung cư phản ánh mức độ đánh giá tích cực của khách hàng đối với căn hộ, được hình thành dựa trên các yếu tố như vị trí, tiện ích, môi trường sống, pháp lý, uy tín chủ đầu tư và phong thủy. Khi khách hàng có thái độ tích cực, họ có xu hướng hình thành ý định mua mạnh mẽ hơn, điều này phù hợp với </w:t>
      </w:r>
      <w:r w:rsidRPr="00021C6B">
        <w:rPr>
          <w:color w:val="auto"/>
          <w:spacing w:val="-2"/>
        </w:rPr>
        <w:lastRenderedPageBreak/>
        <w:t>lập luận của Ajzen (1991) và các nghiên cứu thực nghiệm trong lĩnh vực bất động sản.</w:t>
      </w:r>
    </w:p>
    <w:p w:rsidR="00764EB5" w:rsidRDefault="00DF13CC" w:rsidP="00296D82">
      <w:pPr>
        <w:spacing w:line="353" w:lineRule="auto"/>
        <w:rPr>
          <w:color w:val="auto"/>
        </w:rPr>
      </w:pPr>
      <w:r>
        <w:rPr>
          <w:color w:val="auto"/>
        </w:rPr>
        <w:t>Bên cạnh đó, chuẩn chủ quan thể hiện ảnh hưởng của các yếu tố xã hội, bao gồm gia đình, bạn bè và xu hướng thị trường. Trong bối cảnh văn hóa Việt Nam, nơi các quyết định tài sản thường mang tính tập thể, chuẩn chủ quan đóng vai trò quan trọng trong việc thúc đẩy hoặc kìm hãm ý định mua của khách hàng. Khi khách hàng nhận được sự ủng hộ từ những người quan trọng, khả năng hình thành ý định mua sẽ cao hơn.</w:t>
      </w:r>
    </w:p>
    <w:p w:rsidR="00764EB5" w:rsidRDefault="00DF13CC" w:rsidP="00296D82">
      <w:pPr>
        <w:spacing w:line="353" w:lineRule="auto"/>
        <w:rPr>
          <w:color w:val="auto"/>
        </w:rPr>
      </w:pPr>
      <w:r>
        <w:rPr>
          <w:color w:val="auto"/>
        </w:rPr>
        <w:t>Đối với nhận thức kiểm soát hành vi, yếu tố này phản ánh mức độ khách hàng cảm thấy họ có đủ nguồn lực và khả năng để thực hiện việc mua căn hộ. Trong nghiên cứu này, nhận thức kiểm soát hành vi được cụ thể hóa thông qua các yếu tố tài chính như thu nhập, khả năng vay vốn và tiếp cận tín dụng. Khi khách hàng tin rằng họ có khả năng tài chính để mua căn hộ, ý định mua sẽ được củng cố.</w:t>
      </w:r>
    </w:p>
    <w:p w:rsidR="00764EB5" w:rsidRDefault="00DF13CC" w:rsidP="00296D82">
      <w:pPr>
        <w:spacing w:line="353" w:lineRule="auto"/>
        <w:rPr>
          <w:color w:val="auto"/>
        </w:rPr>
      </w:pPr>
      <w:r>
        <w:rPr>
          <w:color w:val="auto"/>
        </w:rPr>
        <w:t>Ngoài ba yếu tố cốt lõi của TPB, nghiên cứu bổ sung giá trị cảm nhận căn hộ như một biến độc lập nhằm phản ánh quá trình đánh giá tổng hợp của khách hàng về lợi ích và chi phí của căn hộ. Khác với thái độ - vốn phản ánh đánh giá chung đối với hành vi – giá trị cảm nhận tập trung vào việc đánh giá cụ thể “căn hộ này có đáng mua hay không”. Khi khách hàng nhận thấy căn hộ mang lại giá trị cao (về vị trí, tiện ích, môi trường sống, tiềm năng đầu tư và sự phù hợp văn hóa), họ sẽ có xu hướng hình thành ý định mua mạnh mẽ hơn.</w:t>
      </w:r>
    </w:p>
    <w:p w:rsidR="00764EB5" w:rsidRDefault="00DF13CC" w:rsidP="003D6B28">
      <w:pPr>
        <w:rPr>
          <w:color w:val="auto"/>
        </w:rPr>
      </w:pPr>
      <w:r>
        <w:rPr>
          <w:color w:val="auto"/>
        </w:rPr>
        <w:t>Từ các lập luận trên, bốn giả thuyết đầu tiên (H1–H4) được xây dựng nhằm kiểm định mối quan hệ giữa các yếu tố nhận thức và ý định mua căn hộ chung cư.</w:t>
      </w:r>
    </w:p>
    <w:p w:rsidR="00764EB5" w:rsidRDefault="00DF13CC" w:rsidP="003D6B28">
      <w:pPr>
        <w:rPr>
          <w:color w:val="auto"/>
        </w:rPr>
      </w:pPr>
      <w:r>
        <w:rPr>
          <w:color w:val="auto"/>
        </w:rPr>
        <w:t>Tiếp theo, ý định mua căn hộ chung cư được giả định là yếu tố dự báo trực tiếp của quyết định mua căn hộ chung cư. Ý định mua phản ánh mức độ sẵn sàng của khách hàng trong việc thực hiện hành vi, do đó khi ý định đủ mạnh, khả năng chuyển hóa thành mức độ sẵn sàng hành động sẽ cao hơn. Đây là cơ sở để xây dựng giả thuyết H5 trong mô hình nghiên cứu.</w:t>
      </w:r>
    </w:p>
    <w:p w:rsidR="00764EB5" w:rsidRPr="00296D82" w:rsidRDefault="00DF13CC" w:rsidP="003D6B28">
      <w:pPr>
        <w:rPr>
          <w:color w:val="auto"/>
          <w:spacing w:val="-4"/>
        </w:rPr>
      </w:pPr>
      <w:r w:rsidRPr="00296D82">
        <w:rPr>
          <w:color w:val="auto"/>
          <w:spacing w:val="-4"/>
        </w:rPr>
        <w:t>Mô hình nghiên cứu đề xuất phản ánh một chuỗi quan hệ logic: Nhận thức (thái độ, chuẩn chủ quan, nhận thức kiểm soát, giá trị cảm nhận) -&gt; Ý định mua -&gt; QDM.</w:t>
      </w:r>
    </w:p>
    <w:p w:rsidR="00764EB5" w:rsidRDefault="00764EB5" w:rsidP="003D6B28">
      <w:pPr>
        <w:jc w:val="center"/>
        <w:rPr>
          <w:b/>
          <w:bCs/>
          <w:color w:val="auto"/>
        </w:rPr>
      </w:pPr>
    </w:p>
    <w:p w:rsidR="00764EB5" w:rsidRDefault="00764EB5" w:rsidP="003D6B28">
      <w:pPr>
        <w:jc w:val="center"/>
        <w:rPr>
          <w:b/>
          <w:bCs/>
          <w:color w:val="auto"/>
        </w:rPr>
      </w:pPr>
    </w:p>
    <w:p w:rsidR="00764EB5" w:rsidRDefault="00764EB5" w:rsidP="003D6B28">
      <w:pPr>
        <w:jc w:val="center"/>
        <w:rPr>
          <w:b/>
          <w:bCs/>
          <w:color w:val="auto"/>
        </w:rPr>
      </w:pPr>
    </w:p>
    <w:p w:rsidR="00296D82" w:rsidRDefault="00296D82">
      <w:pPr>
        <w:suppressAutoHyphens w:val="0"/>
        <w:spacing w:line="240" w:lineRule="auto"/>
        <w:ind w:firstLine="0"/>
        <w:jc w:val="left"/>
        <w:rPr>
          <w:b/>
          <w:bCs/>
          <w:color w:val="auto"/>
        </w:rPr>
      </w:pPr>
      <w:r>
        <w:rPr>
          <w:b/>
          <w:bCs/>
          <w:color w:val="auto"/>
        </w:rPr>
        <w:br w:type="page"/>
      </w:r>
    </w:p>
    <w:p w:rsidR="00764EB5" w:rsidRDefault="00DF13CC" w:rsidP="00021C6B">
      <w:pPr>
        <w:ind w:firstLine="0"/>
        <w:jc w:val="center"/>
        <w:outlineLvl w:val="0"/>
        <w:rPr>
          <w:b/>
          <w:bCs/>
          <w:color w:val="auto"/>
        </w:rPr>
      </w:pPr>
      <w:bookmarkStart w:id="289" w:name="_Toc241064371"/>
      <w:bookmarkStart w:id="290" w:name="_Toc241065304"/>
      <w:bookmarkStart w:id="291" w:name="_Toc241065515"/>
      <w:r>
        <w:rPr>
          <w:b/>
          <w:bCs/>
          <w:color w:val="auto"/>
        </w:rPr>
        <w:lastRenderedPageBreak/>
        <w:t>TÓM TẮT CHƯƠNG 2</w:t>
      </w:r>
      <w:bookmarkEnd w:id="289"/>
      <w:bookmarkEnd w:id="290"/>
      <w:bookmarkEnd w:id="291"/>
    </w:p>
    <w:p w:rsidR="00764EB5" w:rsidRDefault="00764EB5" w:rsidP="003D6B28">
      <w:pPr>
        <w:jc w:val="center"/>
        <w:rPr>
          <w:b/>
          <w:bCs/>
          <w:color w:val="auto"/>
        </w:rPr>
      </w:pPr>
    </w:p>
    <w:p w:rsidR="00764EB5" w:rsidRDefault="00DF13CC" w:rsidP="003D6B28">
      <w:pPr>
        <w:rPr>
          <w:color w:val="auto"/>
          <w:spacing w:val="-2"/>
        </w:rPr>
      </w:pPr>
      <w:r>
        <w:rPr>
          <w:color w:val="auto"/>
        </w:rPr>
        <w:t>Chương 2 đã hệ thống hóa các nền tảng lý thuyết liên quan đến hành vi người tiêu dùng và quyết định mua căn hộ chung cư, trong đó trọng tâm là Lý thuyết hành vi có kế hoạch (TPB) của Ajzen. Trên cơ sở kế thừa TPB và các lý thuyết bổ trợ, luận án xác định rằng ý định mua căn hộ chung cư chịu tác động của thái độ, chuẩn chủ quan, nhận thức kiểm soát hành vi và giá trị cảm nhận căn hộ. Các yếu tố như pháp lý dự án, uy tín chủ đầu tư, vị trí và phong thủy được luận giải như các thành phần góp phần hình thành giá trị cảm nhận hoặc thái độ của người mua.</w:t>
      </w:r>
    </w:p>
    <w:p w:rsidR="00764EB5" w:rsidRDefault="00DF13CC" w:rsidP="003D6B28">
      <w:pPr>
        <w:rPr>
          <w:color w:val="auto"/>
        </w:rPr>
      </w:pPr>
      <w:r>
        <w:rPr>
          <w:color w:val="auto"/>
        </w:rPr>
        <w:t>Thông qua tổng hợp các nghiên cứu trước đây, chương này phân tích cơ sở hình thành bốn nhóm yếu tố trong mô hình: Thái độ đối với căn hộ, Chuẩn chủ quan, Nhận thức kiểm soát hành vi và Giá trị cảm nhận căn hộ. Các yếu tố này được xem xét trong mối quan hệ với Ý định mua, từ đó tác động đến mức độ sẵn sàng ra quyết định mua căn hộ chung cư.</w:t>
      </w:r>
    </w:p>
    <w:p w:rsidR="00764EB5" w:rsidRDefault="00DF13CC" w:rsidP="003D6B28">
      <w:pPr>
        <w:rPr>
          <w:color w:val="auto"/>
        </w:rPr>
      </w:pPr>
      <w:r>
        <w:rPr>
          <w:color w:val="auto"/>
        </w:rPr>
        <w:t>Trên cơ sở lý luận và thực tiễn, luận án đề xuất mô hình nghiên cứu phù hợp với phạm vi dữ liệu hiện có. Mô hình kế thừa nền tảng TPB và mở rộng bằng biến Giá trị cảm nhận căn hộ, qua đó góp phần giải thích ý định mua và mức độ sẵn sàng ra quyết định mua căn hộ chung cư tại vùng Đông Nam Bộ.</w:t>
      </w:r>
    </w:p>
    <w:p w:rsidR="00764EB5" w:rsidRDefault="00764EB5" w:rsidP="003D6B28">
      <w:pPr>
        <w:rPr>
          <w:color w:val="auto"/>
        </w:rPr>
      </w:pPr>
    </w:p>
    <w:p w:rsidR="00764EB5" w:rsidRDefault="00DF13CC" w:rsidP="003D6B28">
      <w:pPr>
        <w:rPr>
          <w:color w:val="auto"/>
        </w:rPr>
      </w:pPr>
      <w:r>
        <w:rPr>
          <w:color w:val="auto"/>
        </w:rPr>
        <w:br w:type="page"/>
      </w:r>
    </w:p>
    <w:p w:rsidR="00764EB5" w:rsidRDefault="00DF13CC" w:rsidP="00296D82">
      <w:pPr>
        <w:pStyle w:val="Heading1"/>
        <w:ind w:firstLine="0"/>
        <w:rPr>
          <w:color w:val="auto"/>
        </w:rPr>
      </w:pPr>
      <w:bookmarkStart w:id="292" w:name="_Toc234224110"/>
      <w:bookmarkStart w:id="293" w:name="_Toc241062449"/>
      <w:bookmarkStart w:id="294" w:name="_Toc241064372"/>
      <w:bookmarkStart w:id="295" w:name="_Toc241065305"/>
      <w:bookmarkStart w:id="296" w:name="_Toc241065516"/>
      <w:r>
        <w:rPr>
          <w:rFonts w:ascii="Times New Roman" w:hAnsi="Times New Roman"/>
          <w:color w:val="auto"/>
        </w:rPr>
        <w:lastRenderedPageBreak/>
        <w:t>CHƯƠNG 3: PHƯƠNG PHÁP NGHIÊN CỨU</w:t>
      </w:r>
      <w:bookmarkEnd w:id="292"/>
      <w:bookmarkEnd w:id="293"/>
      <w:bookmarkEnd w:id="294"/>
      <w:bookmarkEnd w:id="295"/>
      <w:bookmarkEnd w:id="296"/>
    </w:p>
    <w:p w:rsidR="00764EB5" w:rsidRDefault="00764EB5" w:rsidP="00021C6B">
      <w:pPr>
        <w:pStyle w:val="Heading3"/>
      </w:pPr>
    </w:p>
    <w:p w:rsidR="00764EB5" w:rsidRDefault="00DF13CC" w:rsidP="00021C6B">
      <w:pPr>
        <w:ind w:firstLine="0"/>
        <w:outlineLvl w:val="0"/>
        <w:rPr>
          <w:b/>
          <w:szCs w:val="26"/>
        </w:rPr>
      </w:pPr>
      <w:bookmarkStart w:id="297" w:name="_Toc241064373"/>
      <w:bookmarkStart w:id="298" w:name="_Toc241065306"/>
      <w:bookmarkStart w:id="299" w:name="_Toc241065517"/>
      <w:r>
        <w:rPr>
          <w:b/>
          <w:szCs w:val="26"/>
        </w:rPr>
        <w:t>3.1.Đặc điểm vùng Đông Nam Bộ</w:t>
      </w:r>
      <w:bookmarkEnd w:id="297"/>
      <w:bookmarkEnd w:id="298"/>
      <w:bookmarkEnd w:id="299"/>
      <w:r>
        <w:rPr>
          <w:b/>
          <w:szCs w:val="26"/>
        </w:rPr>
        <w:t xml:space="preserve"> </w:t>
      </w:r>
    </w:p>
    <w:p w:rsidR="00296D82" w:rsidRDefault="00DF13CC" w:rsidP="003D6B28">
      <w:pPr>
        <w:rPr>
          <w:color w:val="000000" w:themeColor="text1"/>
          <w:szCs w:val="26"/>
        </w:rPr>
      </w:pPr>
      <w:r>
        <w:rPr>
          <w:color w:val="000000" w:themeColor="text1"/>
          <w:szCs w:val="26"/>
        </w:rPr>
        <w:t xml:space="preserve">Vùng Đông Nam bộ trước đây gòm gồm 6 tỉnh thành là </w:t>
      </w:r>
      <w:r>
        <w:rPr>
          <w:color w:val="000000" w:themeColor="text1"/>
          <w:szCs w:val="26"/>
          <w:shd w:val="clear" w:color="auto" w:fill="FFFFFF"/>
        </w:rPr>
        <w:t>Bà Rịa-Vũng Tàu; Bình Dương; Bình Phước; Đồng Nai; Tây Ninh; Thành phố Hồ Chí Minh. Sau sáp nhập vùng Đông Nam Bộ bao gồm thành phố Hồ chí Minh, tỉnh Đồng Nai, tỉnh Tây Ninh với diện tích 28.046,30 Km2, dân số 21 triệu người (</w:t>
      </w:r>
      <w:hyperlink r:id="rId17" w:history="1">
        <w:r>
          <w:rPr>
            <w:rStyle w:val="Hyperlink"/>
            <w:color w:val="000000" w:themeColor="text1"/>
            <w:szCs w:val="26"/>
            <w:shd w:val="clear" w:color="auto" w:fill="FFFFFF"/>
          </w:rPr>
          <w:t>https://thuvienphapluat.vn/chinh-sach-phap-luat-moi/vn/ho-tro-phap-luat/chinh-sach-moi/92260/tong-quan-ve-vung-dong-nam-bo-moi-sau-sap-nhap-theo-thong-bao-417-tb-vpcp</w:t>
        </w:r>
      </w:hyperlink>
      <w:r>
        <w:rPr>
          <w:color w:val="000000" w:themeColor="text1"/>
          <w:szCs w:val="26"/>
          <w:shd w:val="clear" w:color="auto" w:fill="FFFFFF"/>
        </w:rPr>
        <w:t xml:space="preserve">). </w:t>
      </w:r>
      <w:r>
        <w:rPr>
          <w:color w:val="000000" w:themeColor="text1"/>
          <w:szCs w:val="26"/>
        </w:rPr>
        <w:t>Phía Bắc của vùng giáp với Campuchia, phía Nam – Tây Nam giáp với Đồng bằng sông Cửu Long, phía Bắc – Đông Bắc giáp với Biển Đông và phía Đông giáp với Tây Nguyên và Duyên hải Nam Trung Bộ.</w:t>
      </w:r>
    </w:p>
    <w:p w:rsidR="00764EB5" w:rsidRDefault="00DF13CC" w:rsidP="003D6B28">
      <w:pPr>
        <w:rPr>
          <w:rFonts w:ascii="Arial" w:hAnsi="Arial" w:cs="Arial"/>
          <w:color w:val="6C6C6C"/>
          <w:sz w:val="21"/>
          <w:szCs w:val="21"/>
          <w:shd w:val="clear" w:color="auto" w:fill="FFFFFF"/>
        </w:rPr>
      </w:pPr>
      <w:r>
        <w:rPr>
          <w:noProof/>
        </w:rPr>
        <mc:AlternateContent>
          <mc:Choice Requires="wps">
            <w:drawing>
              <wp:inline distT="0" distB="0" distL="0" distR="0" wp14:anchorId="28CC5CE6" wp14:editId="4314B800">
                <wp:extent cx="308610" cy="308610"/>
                <wp:effectExtent l="0" t="0" r="0" b="0"/>
                <wp:docPr id="4" name="AutoShape 4" descr="Bản đồ các tỉnh Đông Nam Bộ mới sau sáp nhậ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http://schemas.microsoft.com/office/drawing/2014/chartex">
            <w:pict>
              <v:rect w14:anchorId="1EF1826E" id="AutoShape 4" o:spid="_x0000_s1026" alt="Bản đồ các tỉnh Đông Nam Bộ mới sau sáp nhập"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" filled="f" stroked="f">
                <o:lock v:ext="edit" aspectratio="t"/>
                <w10:anchorlock/>
              </v:rect>
            </w:pict>
          </mc:Fallback>
        </mc:AlternateContent>
      </w:r>
      <w:r>
        <w:rPr>
          <w:rFonts w:ascii="Arial" w:hAnsi="Arial" w:cs="Arial"/>
          <w:noProof/>
          <w:color w:val="6C6C6C"/>
          <w:sz w:val="21"/>
          <w:szCs w:val="21"/>
          <w:shd w:val="clear" w:color="auto" w:fill="FFFFFF"/>
        </w:rPr>
        <w:drawing>
          <wp:inline distT="0" distB="0" distL="0" distR="0" wp14:anchorId="0CE3A6AE" wp14:editId="147E0A0D">
            <wp:extent cx="5478780" cy="434340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478677" cy="4343201"/>
                    </a:xfrm>
                    <a:prstGeom prst="rect">
                      <a:avLst/>
                    </a:prstGeom>
                    <a:noFill/>
                  </pic:spPr>
                </pic:pic>
              </a:graphicData>
            </a:graphic>
          </wp:inline>
        </w:drawing>
      </w:r>
    </w:p>
    <w:p w:rsidR="00764EB5" w:rsidRDefault="00DF13CC" w:rsidP="003D6B28">
      <w:pPr>
        <w:jc w:val="center"/>
        <w:rPr>
          <w:b/>
          <w:color w:val="auto"/>
          <w:szCs w:val="26"/>
          <w:shd w:val="clear" w:color="auto" w:fill="FFFFFF"/>
        </w:rPr>
      </w:pPr>
      <w:r>
        <w:rPr>
          <w:b/>
          <w:color w:val="auto"/>
          <w:szCs w:val="26"/>
          <w:shd w:val="clear" w:color="auto" w:fill="FFFFFF"/>
        </w:rPr>
        <w:t>Hình 3.1. Bản đồ vùng Đông Nam Bộ</w:t>
      </w:r>
    </w:p>
    <w:p w:rsidR="00764EB5" w:rsidRPr="00021C6B" w:rsidRDefault="00DF13CC" w:rsidP="00021C6B">
      <w:pPr>
        <w:pStyle w:val="Heading2"/>
        <w:ind w:firstLine="567"/>
        <w:rPr>
          <w:b w:val="0"/>
        </w:rPr>
      </w:pPr>
      <w:bookmarkStart w:id="300" w:name="_Toc241062450"/>
      <w:bookmarkStart w:id="301" w:name="_Toc241064374"/>
      <w:bookmarkStart w:id="302" w:name="_Toc241065307"/>
      <w:bookmarkStart w:id="303" w:name="_Toc241065518"/>
      <w:bookmarkStart w:id="304" w:name="_Toc234224074"/>
      <w:bookmarkStart w:id="305" w:name="_Toc227561046"/>
      <w:bookmarkStart w:id="306" w:name="_Toc238480581"/>
      <w:r w:rsidRPr="00021C6B">
        <w:rPr>
          <w:b w:val="0"/>
        </w:rPr>
        <w:lastRenderedPageBreak/>
        <w:t xml:space="preserve">Vùng Đông Nam Bộ hiện nay có diện tích trên 28 nghìn km²; dân số gần 21 triệu người; mật độ dân số 749 người/km²; quy mô GRDP trên 150 tỷ USD; thu NSNN đạt trên 795 nghìn tỷ đồng (chiếm 36,3% cả nước); xuất khẩu đạt trên 135 tỷ USD (chiếm 33,3%); dư nợ tín dụng đạt gần 5,3 triệu tỷ đồng (chiếm 33,9%); số doanh nghiệp còn hoạt động trên 381 nghìn doanh nghiệp (chiếm 41,4%); có 23 nghìn dự án FDI (chiếm 55,4%) với tổng vốn đầu tư </w:t>
      </w:r>
      <w:r w:rsidR="00296D82" w:rsidRPr="00021C6B">
        <w:rPr>
          <w:b w:val="0"/>
        </w:rPr>
        <w:t xml:space="preserve">trên 205 tỷ USD (chiếm gần 42%) </w:t>
      </w:r>
      <w:r w:rsidRPr="00021C6B">
        <w:rPr>
          <w:b w:val="0"/>
        </w:rPr>
        <w:t>(https://thuvienphapluat.vn/chinh-sach-phap-luat-moi/vn/ho-tro-phap-luat/chinh-sach-moi/92260/tong-quan-ve-vung-dong-nam-bo-moi-sau-sap-nhap-theo-thong-bao-417-tb-vpcp) .</w:t>
      </w:r>
      <w:bookmarkEnd w:id="300"/>
      <w:bookmarkEnd w:id="301"/>
      <w:bookmarkEnd w:id="302"/>
      <w:bookmarkEnd w:id="303"/>
    </w:p>
    <w:p w:rsidR="00764EB5" w:rsidRPr="00021C6B" w:rsidRDefault="00DF13CC" w:rsidP="00021C6B">
      <w:pPr>
        <w:pStyle w:val="Heading2"/>
        <w:ind w:firstLine="567"/>
        <w:rPr>
          <w:b w:val="0"/>
        </w:rPr>
      </w:pPr>
      <w:bookmarkStart w:id="307" w:name="_Toc241062451"/>
      <w:bookmarkStart w:id="308" w:name="_Toc241064375"/>
      <w:bookmarkStart w:id="309" w:name="_Toc241065308"/>
      <w:bookmarkStart w:id="310" w:name="_Toc241065519"/>
      <w:r w:rsidRPr="00021C6B">
        <w:rPr>
          <w:b w:val="0"/>
        </w:rPr>
        <w:t>Ngày 4/4/2026 thủ tướng chính phủ đã có quyết định phê duyệt điều chỉnh Quy hoạch 6 vùng của cả nước thời kỳ 2021-2030, tầm nhìn đến năm 2050, một trong só đó là vùng Đông Nam Bộ. Đông Nam Bộ được xác định là đàu tàu Đầu tàu tăng trưởng, hướng tới trung tâm </w:t>
      </w:r>
      <w:hyperlink r:id="rId19" w:history="1">
        <w:r w:rsidRPr="00021C6B">
          <w:rPr>
            <w:rStyle w:val="Hyperlink"/>
            <w:b w:val="0"/>
            <w:color w:val="auto"/>
            <w:spacing w:val="0"/>
            <w:u w:val="none"/>
          </w:rPr>
          <w:t>tài chính</w:t>
        </w:r>
      </w:hyperlink>
      <w:r w:rsidRPr="00021C6B">
        <w:rPr>
          <w:b w:val="0"/>
        </w:rPr>
        <w:t> quốc tế  (Thủ tướng chính phủ, 2026) với một số định hướng chính như:</w:t>
      </w:r>
      <w:bookmarkEnd w:id="307"/>
      <w:bookmarkEnd w:id="308"/>
      <w:bookmarkEnd w:id="309"/>
      <w:bookmarkEnd w:id="310"/>
    </w:p>
    <w:p w:rsidR="00764EB5" w:rsidRDefault="00DF13CC" w:rsidP="00296D82">
      <w:r>
        <w:rPr>
          <w:szCs w:val="26"/>
        </w:rPr>
        <w:t>Đến năm 2030, Đông Nam Bộ hướng tới trở thành vùng văn minh, hiện đại,</w:t>
      </w:r>
      <w:r>
        <w:t xml:space="preserve"> công nghiệp phát triển, vượt ngưỡng thu nhập cao; là động lực tăng trưởng lớn nhất cả nước, trung tâm khoa học - công nghệ, đổi mới sáng tạo, công nghiệp công nghệ cao, logistics và tài chính quốc tế.</w:t>
      </w:r>
    </w:p>
    <w:p w:rsidR="00764EB5" w:rsidRDefault="00DF13CC" w:rsidP="00296D82">
      <w:r>
        <w:t>Hạ tầng được phát triển đồng bộ, đô thị xanh, thông minh; môi trường, giao thông và ngập úng cơ bản được cải thiện; đời sống người dân nâng cao, quốc phòng - an ninh được bảo đảm. TPHCM giữ vai trò cực tăng trưởng, trung tâm kinh tế, tài chính, đổi mới sáng tạo của vùng và cả nước.</w:t>
      </w:r>
    </w:p>
    <w:p w:rsidR="00764EB5" w:rsidRPr="00296D82" w:rsidRDefault="00DF13CC" w:rsidP="00296D82">
      <w:pPr>
        <w:rPr>
          <w:spacing w:val="-2"/>
        </w:rPr>
      </w:pPr>
      <w:r w:rsidRPr="00296D82">
        <w:rPr>
          <w:spacing w:val="-2"/>
        </w:rPr>
        <w:t xml:space="preserve">Các nhiệm vụ trọng tâm gồm đổi mới mô hình tăng trưởng, cơ cấu lại kinh tế dựa trên khoa học - công nghệ và chuyển đổi số; phát triển hạ tầng đồng bộ, hiện đại. </w:t>
      </w:r>
    </w:p>
    <w:p w:rsidR="00764EB5" w:rsidRDefault="00DF13CC" w:rsidP="00296D82">
      <w:pPr>
        <w:spacing w:line="348" w:lineRule="auto"/>
      </w:pPr>
      <w:r>
        <w:t>Xây dựng vùng động lực phía Nam thành trung tâm kinh tế hàng đầu; hình thành các hành lang kinh tế và vành đai công nghiệp - đô thị; tăng cường liên kết nội vùng, liên vùng theo hướng đa trung tâm.</w:t>
      </w:r>
    </w:p>
    <w:p w:rsidR="00764EB5" w:rsidRDefault="00DF13CC" w:rsidP="00021C6B">
      <w:pPr>
        <w:spacing w:line="348" w:lineRule="auto"/>
        <w:ind w:firstLine="0"/>
        <w:outlineLvl w:val="0"/>
        <w:rPr>
          <w:b/>
          <w:color w:val="auto"/>
        </w:rPr>
      </w:pPr>
      <w:bookmarkStart w:id="311" w:name="_Toc241064376"/>
      <w:bookmarkStart w:id="312" w:name="_Toc241065309"/>
      <w:bookmarkStart w:id="313" w:name="_Toc241065520"/>
      <w:bookmarkEnd w:id="304"/>
      <w:bookmarkEnd w:id="305"/>
      <w:bookmarkEnd w:id="306"/>
      <w:r>
        <w:rPr>
          <w:b/>
          <w:color w:val="auto"/>
        </w:rPr>
        <w:t>3.2. Phương pháp nghiên cứu</w:t>
      </w:r>
      <w:bookmarkEnd w:id="311"/>
      <w:bookmarkEnd w:id="312"/>
      <w:bookmarkEnd w:id="313"/>
    </w:p>
    <w:p w:rsidR="00764EB5" w:rsidRDefault="00DF13CC" w:rsidP="00021C6B">
      <w:pPr>
        <w:spacing w:line="348" w:lineRule="auto"/>
        <w:ind w:firstLine="0"/>
        <w:outlineLvl w:val="0"/>
        <w:rPr>
          <w:b/>
          <w:i/>
          <w:color w:val="auto"/>
        </w:rPr>
      </w:pPr>
      <w:bookmarkStart w:id="314" w:name="_Toc241064377"/>
      <w:bookmarkStart w:id="315" w:name="_Toc241065310"/>
      <w:bookmarkStart w:id="316" w:name="_Toc241065521"/>
      <w:r>
        <w:rPr>
          <w:b/>
          <w:i/>
          <w:color w:val="auto"/>
        </w:rPr>
        <w:t>3.2.1. Quy trình và thiết kế nghiên cứu</w:t>
      </w:r>
      <w:bookmarkEnd w:id="314"/>
      <w:bookmarkEnd w:id="315"/>
      <w:bookmarkEnd w:id="316"/>
    </w:p>
    <w:p w:rsidR="00764EB5" w:rsidRDefault="00DF13CC" w:rsidP="00296D82">
      <w:pPr>
        <w:spacing w:line="348" w:lineRule="auto"/>
        <w:ind w:firstLine="0"/>
        <w:rPr>
          <w:i/>
          <w:color w:val="auto"/>
        </w:rPr>
      </w:pPr>
      <w:r>
        <w:rPr>
          <w:i/>
          <w:color w:val="auto"/>
        </w:rPr>
        <w:t>3.2.1.1.Quy trình nghiên cứu</w:t>
      </w:r>
    </w:p>
    <w:p w:rsidR="00764EB5" w:rsidRDefault="00DF13CC" w:rsidP="003D6B28">
      <w:pPr>
        <w:rPr>
          <w:color w:val="auto"/>
          <w:szCs w:val="28"/>
        </w:rPr>
      </w:pPr>
      <w:r>
        <w:rPr>
          <w:color w:val="auto"/>
        </w:rPr>
        <w:lastRenderedPageBreak/>
        <w:t>Để đạt được mục tiêu nghiên cứu, luận án sử dụng thiết kế nghiên cứu hỗn hợp theo hướng định tính hỗ trợ định lượng. Giai đoạn định tính được thực hiện nhằm rà soát nội dung thang đo, kiểm tra mức độ phù hợp của các biến quan sát với bối cảnh thị trường căn hộ chung cư tại vùng Đông Nam Bộ và hiệu chỉnh bảng hỏi trước khảo sát chính thức. Giai đoạn định lượng được sử dụng để kiểm định mô hình nghiên cứu và các giả thuyết thông qua dữ liệu khảo sát.</w:t>
      </w:r>
    </w:p>
    <w:p w:rsidR="00764EB5" w:rsidRDefault="00DF13CC" w:rsidP="003D6B28">
      <w:pPr>
        <w:rPr>
          <w:color w:val="auto"/>
          <w:szCs w:val="28"/>
        </w:rPr>
      </w:pPr>
      <w:r>
        <w:rPr>
          <w:color w:val="auto"/>
        </w:rPr>
        <w:t>Giai đoạn 1 (nghiên cứu sơ bộ): Thực hiện phỏng vấn chuyên gia và khảo sát thử với nhóm người tiêu dùng phù hợp nhằm kiểm tra ngôn ngữ bảng hỏi, mức độ dễ hiểu của các biến quan sát và độ tin cậy sơ bộ của thang đo. Kết quả giai đoạn này là cơ sở để điều chỉnh bảng hỏi chính thức trước khi thu thập dữ liệu diện rộng.</w:t>
      </w:r>
    </w:p>
    <w:p w:rsidR="00764EB5" w:rsidRDefault="00DF13CC" w:rsidP="003D6B28">
      <w:pPr>
        <w:rPr>
          <w:color w:val="auto"/>
        </w:rPr>
      </w:pPr>
      <w:r>
        <w:rPr>
          <w:color w:val="auto"/>
        </w:rPr>
        <w:t>Giai đoạn 2 (khảo sát chính thức): Thu thập 361 bảng hỏi hợp lệ từ các cá nhân đã mua, đang cân nhắc mua hoặc có nhu cầu tìm hiểu căn hộ chung cư tại vùng Đông Nam Bộ. Dữ liệu được xử lý bằng SPSS và SmartPLS thông qua các bước: thống kê mô tả, kiểm định độ tin cậy thang đo, phân tích nhân tố khám phá, đánh giá mô hình đo lường, kiểm định mô hình cấu trúc bằng PLS-SEM và bootstrapping. Các kết luận chỉ được diễn giải trong phạm vi mô hình và dữ liệu đã kiểm định.</w:t>
      </w:r>
    </w:p>
    <w:p w:rsidR="00764EB5" w:rsidRDefault="00DF13CC" w:rsidP="003D6B28">
      <w:pPr>
        <w:ind w:firstLine="0"/>
        <w:rPr>
          <w:i/>
        </w:rPr>
      </w:pPr>
      <w:r>
        <w:rPr>
          <w:i/>
        </w:rPr>
        <w:t>3.2.1.2. Thiết kế nghiên cứu</w:t>
      </w:r>
    </w:p>
    <w:p w:rsidR="00764EB5" w:rsidRDefault="00DF13CC" w:rsidP="003D6B28">
      <w:pPr>
        <w:rPr>
          <w:color w:val="auto"/>
        </w:rPr>
      </w:pPr>
      <w:r>
        <w:rPr>
          <w:color w:val="auto"/>
        </w:rPr>
        <w:t>Thiết kế nghiên cứu của đề tài được xây dựng theo hướng tiếp cận kết hợp giữa phương pháp định tính và định lượng, nhằm đảm bảo vừa phát triển cơ sở lý thuyết vững chắc, vừa kiểm định thực nghiệm mô hình nghiên cứu trong bối cảnh cụ thể của thị trường bất động sản khu vực Đông Nam Bộ. Cách tiếp cận này cho phép nghiên cứu không chỉ kế thừa các thành tựu học thuật trước đây mà còn điều chỉnh, bổ sung các yếu tố phù hợp với điều kiện thực tiễn tại Việt Nam, qua đó nâng cao giá trị khoa học và tính ứng dụng của kết quả nghiên cứu.</w:t>
      </w:r>
    </w:p>
    <w:p w:rsidR="00764EB5" w:rsidRDefault="00DF13CC" w:rsidP="00296D82">
      <w:pPr>
        <w:spacing w:line="353" w:lineRule="auto"/>
        <w:rPr>
          <w:color w:val="auto"/>
        </w:rPr>
      </w:pPr>
      <w:r>
        <w:rPr>
          <w:color w:val="auto"/>
        </w:rPr>
        <w:t xml:space="preserve">Trước hết, nghiên cứu bắt đầu bằng việc tổng quan lý thuyết và xây dựng mô hình nghiên cứu. Ở giai đoạn này, tác giả tiến hành hệ thống hóa các lý thuyết nền tảng liên quan đến hành vi người tiêu dùng, trong đó trọng tâm là Theory of Planned Behavior. Lý thuyết này được sử dụng như một khung phân tích cốt lõi để giải thích mối quan hệ giữa thái độ, chuẩn chủ quan, kiểm soát hành vi nhận thức và </w:t>
      </w:r>
      <w:r>
        <w:rPr>
          <w:color w:val="auto"/>
        </w:rPr>
        <w:lastRenderedPageBreak/>
        <w:t>ý định hành vi. Bên cạnh đó, nghiên cứu cũng tổng hợp và phân tích các công trình trước đây liên quan đến hành vi mua bất động sản, đặc biệt là căn hộ chung cư tại các thị trường mới nổi. Thông qua quá trình này, các khoảng trống nghiên cứu được xác định, bao gồm việc thiếu các nghiên cứu tích hợp các yếu tố đặc thù như pháp lý dự án, uy tín chủ đầu tư hay yếu tố phong thủy trong mô hình hành vi. Trên cơ sở đó, mô hình nghiên cứu đề xuất được hình thành với cấu trúc gồm các biến độc lập, biến trung gian và biến phụ thuộc, đồng thời phát triển hệ thống giả thuyết nhằm kiểm định các mối quan hệ dự báo trong mô hình.</w:t>
      </w:r>
    </w:p>
    <w:p w:rsidR="00764EB5" w:rsidRDefault="00DF13CC" w:rsidP="00296D82">
      <w:pPr>
        <w:spacing w:line="353" w:lineRule="auto"/>
        <w:rPr>
          <w:color w:val="auto"/>
        </w:rPr>
      </w:pPr>
      <w:r>
        <w:rPr>
          <w:color w:val="auto"/>
        </w:rPr>
        <w:t>Tiếp theo, nghiên cứu triển khai giai đoạn xây dựng và hiệu chỉnh thang đo thông qua phương pháp định tính. Cụ thể, các thang đo ban đầu được kế thừa từ các nghiên cứu trước và được điều chỉnh cho phù hợp với bối cảnh nghiên cứu. Để đảm bảo tính phù hợp và độ bao quát của thang đo, nghiên cứu tiến hành phỏng vấn chuyên gia trong các lĩnh vực học thuật và thực tiễn, bao gồm giảng viên, nhà nghiên cứu và chuyên gia trong ngành bất động sản. Đồng thời, các cuộc thảo luận nhóm với những người có nhu cầu mua căn hộ cũng được thực hiện nhằm thu thập thêm các góc nhìn thực tế từ phía người tiêu dùng. Kết quả của giai đoạn này giúp sàng lọc, điều chỉnh và bổ sung các biến quan sát, đặc biệt là các yếu tố mang tính đặc thù của thị trường Việt Nam, từ đó hình thành bộ thang đo chính thức có độ phù hợp cao với đối tượng nghiên cứu.</w:t>
      </w:r>
    </w:p>
    <w:p w:rsidR="00764EB5" w:rsidRDefault="00DF13CC" w:rsidP="00296D82">
      <w:pPr>
        <w:spacing w:line="353" w:lineRule="auto"/>
        <w:rPr>
          <w:color w:val="auto"/>
        </w:rPr>
      </w:pPr>
      <w:r>
        <w:rPr>
          <w:color w:val="auto"/>
        </w:rPr>
        <w:t>Trên cơ sở thang đo đã được hiệu chỉnh, nghiên cứu tiến hành thiết kế bảng câu hỏi khảo sát. Bảng câu hỏi được xây dựng theo cấu trúc logic, bao gồm phần câu hỏi sàng lọc nhằm đảm bảo đúng đối tượng khảo sát, phần thông tin nhân khẩu học để phục vụ phân tích đặc điểm mẫu, và phần nội dung chính sử dụng thang đo Likert 5 điểm để đo lường các biến nghiên cứu. Trước khi triển khai khảo sát chính thức, nghiên cứu thực hiện khảo sát thử với một mẫu nhỏ nhằm kiểm tra mức độ rõ ràng, dễ hiểu của câu hỏi cũng như đánh giá sơ bộ độ tin cậy của thang đo. Những điều chỉnh cần thiết được thực hiện sau giai đoạn này để đảm bảo bảng hỏi đạt chất lượng tốt nhất trước khi thu thập dữ liệu diện rộng.</w:t>
      </w:r>
    </w:p>
    <w:p w:rsidR="00764EB5" w:rsidRDefault="00DF13CC" w:rsidP="00296D82">
      <w:pPr>
        <w:spacing w:line="353" w:lineRule="auto"/>
        <w:rPr>
          <w:color w:val="auto"/>
        </w:rPr>
      </w:pPr>
      <w:r>
        <w:rPr>
          <w:color w:val="auto"/>
        </w:rPr>
        <w:t xml:space="preserve">Sau đó, nghiên cứu bước vào giai đoạn thu thập dữ liệu định lượng nhằm kiểm định mô hình và các giả thuyết nghiên cứu. Đối tượng khảo sát là những cá nhân có nhu cầu hoặc đã từng tìm hiểu, cân nhắc hoặc mua căn hộ chung cư tại khu vực </w:t>
      </w:r>
      <w:r>
        <w:rPr>
          <w:color w:val="auto"/>
        </w:rPr>
        <w:lastRenderedPageBreak/>
        <w:t>Đông Nam Bộ. Phương pháp chọn mẫu được sử dụng là phương pháp thuận tiện kết hợp với kỹ thuật lan truyền (snowball sampling), phù hợp với đặc điểm khó tiếp cận của đối tượng nghiên cứu. Dữ liệu được thu thập thông qua cả hai hình thức trực tiếp và trực tuyến nhằm tăng quy mô và tính đa dạng của mẫu. Kích thước mẫu được xác định dựa trên yêu cầu của các phương pháp phân tích thống kê, đảm bảo đủ lớn để thực hiện các kiểm định cần thiết như EFA, hồi quy hoặc mô hình cấu trúc tuyến tính.</w:t>
      </w:r>
    </w:p>
    <w:p w:rsidR="00764EB5" w:rsidRDefault="00DF13CC" w:rsidP="003D6B28">
      <w:pPr>
        <w:rPr>
          <w:color w:val="auto"/>
        </w:rPr>
      </w:pPr>
      <w:r>
        <w:rPr>
          <w:color w:val="auto"/>
        </w:rPr>
        <w:t>Tiếp theo, dữ liệu thu thập được sẽ được xử lý thông qua các kỹ thuật phân tích định lượng. Quá trình này bắt đầu bằng việc làm sạch dữ liệu, loại bỏ các quan sát không hợp lệ và kiểm tra các giá trị ngoại lệ. Sau đó, nghiên cứu tiến hành thống kê mô tả để phân tích đặc điểm của mẫu nghiên cứu. Độ tin cậy của thang đo được đánh giá thông qua hệ số Cronbach’s Alpha, tiếp theo là phân tích nhân tố khám phá (EFA) nhằm kiểm định cấu trúc các biến. Trên cơ sở đó, các phân tích tương quan và hồi quy được thực hiện để đánh giá mối quan hệ giữa các biến trong mô hình. Kết quả phân tích sẽ cho phép kiểm định các giả thuyết nghiên cứu, xác định mức độ ảnh hưởng của từng yếu tố đến ý định và quyết định mua căn hộ.</w:t>
      </w:r>
    </w:p>
    <w:p w:rsidR="00764EB5" w:rsidRDefault="00DF13CC" w:rsidP="003D6B28">
      <w:pPr>
        <w:rPr>
          <w:color w:val="auto"/>
        </w:rPr>
      </w:pPr>
      <w:r>
        <w:rPr>
          <w:color w:val="auto"/>
        </w:rPr>
        <w:t>Cuối cùng, nghiên cứu tiến hành thảo luận kết quả và đưa ra kết luận. Các kết quả phân tích được diễn giải một cách hệ thống, so sánh với các nghiên cứu trước nhằm làm rõ những điểm tương đồng và khác biệt. Từ đó, nghiên cứu đề xuất các hàm ý quản trị dành cho doanh nghiệp bất động sản trong việc xây dựng chiến lược marketing, phát triển sản phẩm và nâng cao uy tín thương hiệu. Đồng thời, các hàm ý chính sách cũng được đưa ra nhằm hỗ trợ cơ quan quản lý trong việc hoàn thiện môi trường pháp lý và thúc đẩy sự phát triển bền vững của thị trường bất động sản. Bên cạnh đó, nghiên cứu cũng thẳng thắn chỉ ra những hạn chế còn tồn tại và đề xuất các hướng nghiên cứu tiếp theo nhằm tiếp tục hoàn thiện lĩnh vực nghiên cứu này trong tương lai.</w:t>
      </w:r>
    </w:p>
    <w:p w:rsidR="00764EB5" w:rsidRPr="00296D82" w:rsidRDefault="00DF13CC" w:rsidP="003D6B28">
      <w:pPr>
        <w:rPr>
          <w:color w:val="auto"/>
          <w:spacing w:val="-2"/>
        </w:rPr>
      </w:pPr>
      <w:r w:rsidRPr="00296D82">
        <w:rPr>
          <w:color w:val="auto"/>
          <w:spacing w:val="-2"/>
        </w:rPr>
        <w:t xml:space="preserve">Các lựa chọn phương pháp của luận án được đặt trong hệ quy chiếu của nghiên cứu kinh doanh và nghiên cứu hỗn hợp (Creswell, 2014; Creswell and Creswell, 2018; Sekaran and Bougie, 2016; Malhotra, 2010; Nguyễn Đình Thọ, 2011). Phân tích dữ liệu định lượng và các bước xử lý bằng SPSS được đối chiếu với Hoàng </w:t>
      </w:r>
      <w:r w:rsidRPr="00296D82">
        <w:rPr>
          <w:color w:val="auto"/>
          <w:spacing w:val="-2"/>
        </w:rPr>
        <w:lastRenderedPageBreak/>
        <w:t>Trọng và Chu Nguyễn Mộng Ngọc (2008), Nguyễn Đình Thọ và Nguyễn Thị Mai Trang (2009) và Field (2018). Phân tích định tính tham khảo logic mã hóa, xác định chủ đề và bão hòa thông tin của Miles et al. (2014), Patton (2015), Braun and Clarke (2006) và Guest et al. (2006). Đánh giá thang đo và mô hình cấu trúc tham chiếu Anderson and Gerbing (1988), Bollen (1989), Nunnally and Bernstein (1994), Kline (2016), Hair et al. (2010, 2019) và Tabachnick and Fidell (2019).</w:t>
      </w:r>
    </w:p>
    <w:p w:rsidR="00764EB5" w:rsidRDefault="00DF13CC" w:rsidP="00021C6B">
      <w:pPr>
        <w:spacing w:line="341" w:lineRule="auto"/>
        <w:rPr>
          <w:color w:val="auto"/>
        </w:rPr>
      </w:pPr>
      <w:r>
        <w:rPr>
          <w:color w:val="auto"/>
        </w:rPr>
        <w:t>Đối với PLS-SEM, luận án tham chiếu Chin (1998), Henseler et al. (2009), Hair et al. (2019), Hair et al. (2021, 2022), Sarstedt et al. (2022) và Sarstedt et al. (2022). Giá trị phân biệt được đánh giá theo Fornell and Larcker (1981) và HTMT (Henseler et al., 2015); vấn đề ước lượng nhất quán tham khảo Dijkstra and Henseler (2015); khả năng dự báo tham khảo Shmueli et al. (2019); cỡ mẫu và công suất kiểm định tham khảo Cohen (1988, 1992), Faul et al. (2009) và Kock and Hadaya (2018). Thiên lệch phương pháp chung được lưu ý theo Podsakoff et al. (2003) và Podsakoff et al. (2012), trong khi nền tảng phân tích nhân tố còn được đối chiếu với Kaiser (1974) và Kim and Mueller (1978).</w:t>
      </w:r>
    </w:p>
    <w:p w:rsidR="00764EB5" w:rsidRPr="00021C6B" w:rsidRDefault="00DF13CC" w:rsidP="00021C6B">
      <w:pPr>
        <w:pStyle w:val="Heading2"/>
        <w:spacing w:line="341" w:lineRule="auto"/>
        <w:rPr>
          <w:i/>
        </w:rPr>
      </w:pPr>
      <w:bookmarkStart w:id="317" w:name="_Toc238480620"/>
      <w:bookmarkStart w:id="318" w:name="_Toc241062452"/>
      <w:bookmarkStart w:id="319" w:name="_Toc241064378"/>
      <w:bookmarkStart w:id="320" w:name="_Toc241065311"/>
      <w:bookmarkStart w:id="321" w:name="_Toc241065522"/>
      <w:r w:rsidRPr="00021C6B">
        <w:rPr>
          <w:i/>
        </w:rPr>
        <w:t>3.2.2. Chọn điểm và mẫu nghiên cứu</w:t>
      </w:r>
      <w:bookmarkEnd w:id="317"/>
      <w:bookmarkEnd w:id="318"/>
      <w:bookmarkEnd w:id="319"/>
      <w:bookmarkEnd w:id="320"/>
      <w:bookmarkEnd w:id="321"/>
    </w:p>
    <w:p w:rsidR="00764EB5" w:rsidRPr="00021C6B" w:rsidRDefault="00DF13CC" w:rsidP="00021C6B">
      <w:pPr>
        <w:pStyle w:val="Heading3"/>
        <w:spacing w:line="341" w:lineRule="auto"/>
        <w:rPr>
          <w:b w:val="0"/>
        </w:rPr>
      </w:pPr>
      <w:bookmarkStart w:id="322" w:name="_Toc238480621"/>
      <w:bookmarkStart w:id="323" w:name="_Toc241062453"/>
      <w:bookmarkStart w:id="324" w:name="_Toc241064379"/>
      <w:bookmarkStart w:id="325" w:name="_Toc241065312"/>
      <w:bookmarkStart w:id="326" w:name="_Toc241065523"/>
      <w:r w:rsidRPr="00021C6B">
        <w:rPr>
          <w:b w:val="0"/>
        </w:rPr>
        <w:t>3.2.2.1. Khu vực lựa chọn khảo sát</w:t>
      </w:r>
      <w:bookmarkEnd w:id="322"/>
      <w:bookmarkEnd w:id="323"/>
      <w:bookmarkEnd w:id="324"/>
      <w:bookmarkEnd w:id="325"/>
      <w:bookmarkEnd w:id="326"/>
    </w:p>
    <w:p w:rsidR="00764EB5" w:rsidRDefault="00DF13CC" w:rsidP="00021C6B">
      <w:pPr>
        <w:spacing w:line="341" w:lineRule="auto"/>
        <w:rPr>
          <w:color w:val="auto"/>
        </w:rPr>
      </w:pPr>
      <w:r>
        <w:rPr>
          <w:color w:val="auto"/>
        </w:rPr>
        <w:t>Việc xác định mẫu nghiên cứu và phương pháp thu thập dữ liệu là một trong những nội dung then chốt, ảnh hưởng trực tiếp đến độ tin cậy và khả năng khái quát hóa của kết quả nghiên cứu. Trong luận án nghiên cứu này, quá trình lựa chọn mẫu và thu thập dữ liệu được thiết kế một cách có hệ thống, dựa trên cả cơ sở lý luận và điều kiện thực tiễn của thị trường căn hộ chung cư tại khu vực Đông Nam Bộ trong bối cảnh tổ chức lại đơn vị hành chính.</w:t>
      </w:r>
    </w:p>
    <w:p w:rsidR="00764EB5" w:rsidRDefault="00DF13CC" w:rsidP="00021C6B">
      <w:pPr>
        <w:spacing w:line="341" w:lineRule="auto"/>
        <w:rPr>
          <w:color w:val="auto"/>
        </w:rPr>
      </w:pPr>
      <w:r>
        <w:rPr>
          <w:color w:val="auto"/>
        </w:rPr>
        <w:t xml:space="preserve">Sau đợt sắp xếp đơn vị hành chính cấp tỉnh năm 2025, Thành phố Hồ Chí Minh mới được hình thành trên cơ sở Thành phố Hồ Chí Minh, Bình Dương và Bà Rịa - Vũng Tàu; tỉnh Đồng Nai mới được hình thành từ Đồng Nai và Bình Phước; tỉnh Tây Ninh mới được hình thành từ Tây Ninh và Long An. Trên cơ sở phạm vi địa lý của vùng Đông Nam Bộ trước sắp xếp và các đơn vị hình thành sau sắp xếp, luận án tổ chức khảo sát theo ba địa bàn Thành phố Hồ Chí Minh, Đồng Nai và Tây Ninh. Việc lựa chọn này nhằm bao quát các không gian thị trường có đặc điểm phát triển khác nhau, không được hiểu là thiết kế mẫu xác suất đại diện cho toàn vùng. Thành phố Hồ Chí Minh sau sắp xếp là địa bàn có cấu trúc thị trường bất động sản </w:t>
      </w:r>
      <w:r>
        <w:rPr>
          <w:color w:val="auto"/>
        </w:rPr>
        <w:lastRenderedPageBreak/>
        <w:t xml:space="preserve">đa dạng, kết hợp trung tâm đô thị lớn, khu vực công nghiệp - đô thị hóa mạnh và không gian cảng biển - dịch vụ; vì vậy mẫu khảo sát tại địa bàn này có ý nghĩa trong việc quan sát nhiều bối cảnh mua căn hộ khác nhau. Tỉnh Đồng Nai sau sắp xếp được hình thành từ Đồng Nai và Bình Phước. </w:t>
      </w:r>
    </w:p>
    <w:p w:rsidR="00764EB5" w:rsidRDefault="00DF13CC" w:rsidP="003D6B28">
      <w:pPr>
        <w:rPr>
          <w:color w:val="auto"/>
        </w:rPr>
      </w:pPr>
      <w:r>
        <w:rPr>
          <w:color w:val="auto"/>
        </w:rPr>
        <w:t>Trong nghiên cứu, địa bàn này được xem xét như một không gian công nghiệp - logistics và đô thị hóa đang mở rộng; các đặc điểm về hạ tầng liên vùng, quỹ đất và nhu cầu nhà ở của lực lượng lao động được sử dụng như bối cảnh để diễn giải kết quả, không phải là biến độc lập được kiểm định riêng. Tỉnh Tây Ninh sau sắp xếp được hình thành từ Tây Ninh và Long An . Địa bàn này bổ sung cho mẫu nghiên cứu một không gian thị trường khác với Thành phố Hồ Chí Minh và Đồng Nai, qua đó giúp mô tả sự đa dạng về bối cảnh đô thị, hạ tầng và mức độ phát triển căn hộ trong phạm vi khảo sát.Tổng thể, ba địa bàn khảo sát có mức độ phát triển thị trường và đặc điểm đô thị khác nhau. Sự khác biệt này tạo bối cảnh đa dạng cho việc kiểm định mô hình, nhưng do phương pháp chọn mẫu phi xác suất và luận án không thực hiện phân tích đa nhóm theo địa bàn, kết quả không được sử dụng để khẳng định khác biệt thống kê giữa các địa phương hoặc khái quát hóa xác suất cho toàn vùng Đông Nam Bộ. (Quốc hội, 2025)..</w:t>
      </w:r>
    </w:p>
    <w:p w:rsidR="00764EB5" w:rsidRPr="00021C6B" w:rsidRDefault="00DF13CC" w:rsidP="00021C6B">
      <w:pPr>
        <w:pStyle w:val="Heading3"/>
        <w:rPr>
          <w:b w:val="0"/>
        </w:rPr>
      </w:pPr>
      <w:bookmarkStart w:id="327" w:name="_Toc238480622"/>
      <w:bookmarkStart w:id="328" w:name="_Toc241062454"/>
      <w:bookmarkStart w:id="329" w:name="_Toc241064380"/>
      <w:bookmarkStart w:id="330" w:name="_Toc241065313"/>
      <w:bookmarkStart w:id="331" w:name="_Toc241065524"/>
      <w:r w:rsidRPr="00021C6B">
        <w:rPr>
          <w:b w:val="0"/>
        </w:rPr>
        <w:t>3.2.2.2. Đối tượng và phương pháp chọn mẫu</w:t>
      </w:r>
      <w:bookmarkEnd w:id="327"/>
      <w:bookmarkEnd w:id="328"/>
      <w:bookmarkEnd w:id="329"/>
      <w:bookmarkEnd w:id="330"/>
      <w:bookmarkEnd w:id="331"/>
    </w:p>
    <w:p w:rsidR="00764EB5" w:rsidRDefault="00DF13CC" w:rsidP="003D6B28">
      <w:pPr>
        <w:rPr>
          <w:color w:val="auto"/>
        </w:rPr>
      </w:pPr>
      <w:r>
        <w:rPr>
          <w:color w:val="auto"/>
        </w:rPr>
        <w:t>Đối tượng khảo sát của nghiên cứu là khách hàng mua căn hộ chung cư, được xác định cụ thể là những cá nhân:</w:t>
      </w:r>
    </w:p>
    <w:p w:rsidR="00764EB5" w:rsidRDefault="00DF13CC" w:rsidP="003D6B28">
      <w:pPr>
        <w:numPr>
          <w:ilvl w:val="0"/>
          <w:numId w:val="1"/>
        </w:numPr>
        <w:ind w:left="0" w:firstLine="567"/>
        <w:rPr>
          <w:color w:val="auto"/>
        </w:rPr>
      </w:pPr>
      <w:r>
        <w:rPr>
          <w:color w:val="auto"/>
        </w:rPr>
        <w:t>Đã từng mua căn hộ;</w:t>
      </w:r>
    </w:p>
    <w:p w:rsidR="00764EB5" w:rsidRDefault="00DF13CC" w:rsidP="003D6B28">
      <w:pPr>
        <w:numPr>
          <w:ilvl w:val="0"/>
          <w:numId w:val="1"/>
        </w:numPr>
        <w:tabs>
          <w:tab w:val="left" w:pos="720"/>
        </w:tabs>
        <w:ind w:left="0" w:firstLine="567"/>
        <w:rPr>
          <w:color w:val="auto"/>
        </w:rPr>
      </w:pPr>
      <w:r>
        <w:rPr>
          <w:color w:val="auto"/>
        </w:rPr>
        <w:t>Đang cân nhắc hoặc tìm hiểu việc mua căn hộ;</w:t>
      </w:r>
    </w:p>
    <w:p w:rsidR="00764EB5" w:rsidRDefault="00DF13CC" w:rsidP="003D6B28">
      <w:pPr>
        <w:numPr>
          <w:ilvl w:val="0"/>
          <w:numId w:val="1"/>
        </w:numPr>
        <w:tabs>
          <w:tab w:val="left" w:pos="720"/>
        </w:tabs>
        <w:ind w:left="0" w:firstLine="567"/>
        <w:rPr>
          <w:color w:val="auto"/>
        </w:rPr>
      </w:pPr>
      <w:r>
        <w:rPr>
          <w:color w:val="auto"/>
        </w:rPr>
        <w:t>Hoặc có nhu cầu mua trong tương lai;</w:t>
      </w:r>
    </w:p>
    <w:p w:rsidR="00764EB5" w:rsidRDefault="00DF13CC" w:rsidP="003D6B28">
      <w:pPr>
        <w:numPr>
          <w:ilvl w:val="0"/>
          <w:numId w:val="1"/>
        </w:numPr>
        <w:tabs>
          <w:tab w:val="left" w:pos="720"/>
        </w:tabs>
        <w:ind w:left="0" w:firstLine="567"/>
        <w:rPr>
          <w:color w:val="auto"/>
        </w:rPr>
      </w:pPr>
      <w:r>
        <w:rPr>
          <w:color w:val="auto"/>
        </w:rPr>
        <w:t>Và có tham gia trực tiếp hoặc gián tiếp vào quá trình ra quyết định mua.</w:t>
      </w:r>
    </w:p>
    <w:p w:rsidR="00764EB5" w:rsidRPr="00021C6B" w:rsidRDefault="00DF13CC" w:rsidP="003D6B28">
      <w:pPr>
        <w:rPr>
          <w:color w:val="auto"/>
          <w:spacing w:val="-4"/>
        </w:rPr>
      </w:pPr>
      <w:r w:rsidRPr="00021C6B">
        <w:rPr>
          <w:color w:val="auto"/>
          <w:spacing w:val="-4"/>
        </w:rPr>
        <w:t>Việc xác định đối tượng như trên nhằm đảm bảo dữ liệu thu thập phản ánh nhận thức, ý định và mức độ sẵn sàng ra quyết định mua của nhóm khách hàng mục tiêu; kết quả không được diễn giải như mức độ sẵn sàng ra quyết định mua của toàn bộ thị trường.</w:t>
      </w:r>
    </w:p>
    <w:p w:rsidR="00764EB5" w:rsidRDefault="00DF13CC" w:rsidP="003D6B28">
      <w:pPr>
        <w:rPr>
          <w:color w:val="auto"/>
        </w:rPr>
      </w:pPr>
      <w:r>
        <w:rPr>
          <w:color w:val="auto"/>
        </w:rPr>
        <w:t>Về phương pháp chọn mẫu, nghiên cứu sử dụng phương pháp chọn mẫu phi xác suất, cụ thể là kết hợp giữa:</w:t>
      </w:r>
    </w:p>
    <w:p w:rsidR="00764EB5" w:rsidRDefault="00DF13CC" w:rsidP="003D6B28">
      <w:pPr>
        <w:numPr>
          <w:ilvl w:val="0"/>
          <w:numId w:val="1"/>
        </w:numPr>
        <w:tabs>
          <w:tab w:val="left" w:pos="720"/>
        </w:tabs>
        <w:ind w:left="0" w:firstLine="567"/>
        <w:rPr>
          <w:color w:val="auto"/>
        </w:rPr>
      </w:pPr>
      <w:r>
        <w:rPr>
          <w:color w:val="auto"/>
        </w:rPr>
        <w:t>Chọn mẫu thuận tiện</w:t>
      </w:r>
    </w:p>
    <w:p w:rsidR="00764EB5" w:rsidRDefault="00DF13CC" w:rsidP="003D6B28">
      <w:pPr>
        <w:numPr>
          <w:ilvl w:val="0"/>
          <w:numId w:val="1"/>
        </w:numPr>
        <w:tabs>
          <w:tab w:val="left" w:pos="720"/>
        </w:tabs>
        <w:ind w:left="0" w:firstLine="567"/>
        <w:rPr>
          <w:color w:val="auto"/>
        </w:rPr>
      </w:pPr>
      <w:r>
        <w:rPr>
          <w:color w:val="auto"/>
        </w:rPr>
        <w:lastRenderedPageBreak/>
        <w:t>Chọn mẫu lan truyền</w:t>
      </w:r>
    </w:p>
    <w:p w:rsidR="00764EB5" w:rsidRDefault="00DF13CC" w:rsidP="00021C6B">
      <w:pPr>
        <w:spacing w:line="336" w:lineRule="auto"/>
        <w:rPr>
          <w:color w:val="auto"/>
        </w:rPr>
      </w:pPr>
      <w:r>
        <w:rPr>
          <w:color w:val="auto"/>
        </w:rPr>
        <w:t>Phương pháp chọn mẫu thuận tiện được áp dụng do khó xác định đầy đủ tổng thể khách hàng có nhu cầu mua căn hộ trên phạm vi rộng. Theo Hair et al. (2019), phương pháp này phù hợp với các nghiên cứu hành vi khi mục tiêu chính là kiểm định mối quan hệ giữa các biến trong mô hình, thay vì ước lượng chính xác các tham số của tổng thể.</w:t>
      </w:r>
    </w:p>
    <w:p w:rsidR="00764EB5" w:rsidRDefault="00DF13CC" w:rsidP="00021C6B">
      <w:pPr>
        <w:spacing w:line="336" w:lineRule="auto"/>
        <w:rPr>
          <w:color w:val="auto"/>
        </w:rPr>
      </w:pPr>
      <w:r>
        <w:rPr>
          <w:color w:val="auto"/>
        </w:rPr>
        <w:t>Bên cạnh đó, phương pháp lan truyền được sử dụng để mở rộng phạm vi tiếp cận đối tượng khảo sát thông qua mạng lưới quan hệ xã hội của người trả lời ban đầu. Cách tiếp cận này đặc biệt hiệu quả trong bối cảnh nghiên cứu hành vi mua bất động sản, khi khách hàng thường có xu hướng trao đổi thông tin và chia sẻ kinh nghiệm trong các nhóm xã hội.</w:t>
      </w:r>
    </w:p>
    <w:p w:rsidR="00764EB5" w:rsidRDefault="00DF13CC" w:rsidP="00021C6B">
      <w:pPr>
        <w:spacing w:line="336" w:lineRule="auto"/>
        <w:rPr>
          <w:color w:val="auto"/>
        </w:rPr>
      </w:pPr>
      <w:r>
        <w:rPr>
          <w:color w:val="auto"/>
        </w:rPr>
        <w:t>Sự kết hợp chọn mẫu thuận tiện và lan truyền giúp mở rộng khả năng tiếp cận đối tượng và tạo sự đa dạng nhất định về đặc điểm nhân khẩu học, kinh tế và hành vi của người trả lời; hạn chế về tính đại diện của phương pháp phi xác suất vẫn được duy trì khi diễn giải kết quả.</w:t>
      </w:r>
    </w:p>
    <w:p w:rsidR="00764EB5" w:rsidRPr="00021C6B" w:rsidRDefault="00DF13CC" w:rsidP="00021C6B">
      <w:pPr>
        <w:pStyle w:val="Heading3"/>
        <w:spacing w:line="336" w:lineRule="auto"/>
        <w:rPr>
          <w:b w:val="0"/>
        </w:rPr>
      </w:pPr>
      <w:bookmarkStart w:id="332" w:name="_Toc238480623"/>
      <w:bookmarkStart w:id="333" w:name="_Toc241062455"/>
      <w:bookmarkStart w:id="334" w:name="_Toc241064381"/>
      <w:bookmarkStart w:id="335" w:name="_Toc241065314"/>
      <w:bookmarkStart w:id="336" w:name="_Toc241065525"/>
      <w:r w:rsidRPr="00021C6B">
        <w:rPr>
          <w:b w:val="0"/>
        </w:rPr>
        <w:t>3.2.2.3. Kích thước mẫu và cơ sở xác định</w:t>
      </w:r>
      <w:bookmarkEnd w:id="332"/>
      <w:bookmarkEnd w:id="333"/>
      <w:bookmarkEnd w:id="334"/>
      <w:bookmarkEnd w:id="335"/>
      <w:bookmarkEnd w:id="336"/>
    </w:p>
    <w:p w:rsidR="00764EB5" w:rsidRDefault="00DF13CC" w:rsidP="00021C6B">
      <w:pPr>
        <w:spacing w:line="336" w:lineRule="auto"/>
        <w:rPr>
          <w:color w:val="auto"/>
        </w:rPr>
      </w:pPr>
      <w:r>
        <w:rPr>
          <w:color w:val="auto"/>
        </w:rPr>
        <w:t>Kích thước mẫu được xem xét trên cả yêu cầu của phân tích sơ bộ và yêu cầu riêng của PLS-SEM. Bảng hỏi gồm 31 biến quan sát. Theo quy tắc kinh nghiệm thường dùng cho phân tích nhân tố, số quan sát tối thiểu từ 5 đến 10 lần số biến quan sát tương ứng khoảng 155-310 trường hợp; quy tắc này chỉ được sử dụng như căn cứ tham khảo ban đầu, không phải căn cứ duy nhất cho PLS-SEM.</w:t>
      </w:r>
    </w:p>
    <w:p w:rsidR="00764EB5" w:rsidRDefault="00DF13CC" w:rsidP="00021C6B">
      <w:pPr>
        <w:spacing w:line="336" w:lineRule="auto"/>
        <w:rPr>
          <w:color w:val="auto"/>
        </w:rPr>
      </w:pPr>
      <w:r>
        <w:rPr>
          <w:color w:val="auto"/>
        </w:rPr>
        <w:t>Đối với PLS-SEM, nghiên cứu bổ sung cách tiếp cận inverse square root của Kock và Hadaya (2018). Với hệ số đường dẫn nhỏ nhất có ý nghĩa thực tiễn dự kiến khoảng 0,15, mức ý nghĩa 5% và công suất kiểm định thông dụng, ngưỡng mẫu tham khảo xấp xỉ 275 quan sát. Mẫu 361 quan sát hợp lệ vượt ngưỡng này và đồng thời lớn hơn mức khuyến nghị theo số biến quan sát.</w:t>
      </w:r>
    </w:p>
    <w:p w:rsidR="00764EB5" w:rsidRDefault="00DF13CC" w:rsidP="00021C6B">
      <w:pPr>
        <w:spacing w:line="336" w:lineRule="auto"/>
        <w:rPr>
          <w:color w:val="auto"/>
        </w:rPr>
      </w:pPr>
      <w:r>
        <w:rPr>
          <w:color w:val="auto"/>
        </w:rPr>
        <w:t>Do mẫu được chọn theo phương pháp thuận tiện kết hợp lan truyền, sự đầy đủ về kích thước không đồng nghĩa với tính đại diện xác suất cho toàn bộ vùng Đông Nam Bộ. Vì vậy, kết quả được diễn giải trong phạm vi mẫu và các địa bàn khảo sát; việc suy rộng cho toàn thị trường cần được thực hiện thận trọng.</w:t>
      </w:r>
    </w:p>
    <w:p w:rsidR="00021C6B" w:rsidRDefault="00DF13CC" w:rsidP="00021C6B">
      <w:pPr>
        <w:spacing w:line="336" w:lineRule="auto"/>
        <w:ind w:firstLine="0"/>
        <w:rPr>
          <w:b/>
          <w:i/>
          <w:color w:val="auto"/>
        </w:rPr>
      </w:pPr>
      <w:r>
        <w:rPr>
          <w:b/>
          <w:i/>
          <w:color w:val="auto"/>
        </w:rPr>
        <w:t>3.2.3.Thu thập thông tin nghiên cứu</w:t>
      </w:r>
      <w:bookmarkStart w:id="337" w:name="_Toc241062456"/>
    </w:p>
    <w:p w:rsidR="00021C6B" w:rsidRPr="00021C6B" w:rsidRDefault="00DF13CC" w:rsidP="00021C6B">
      <w:pPr>
        <w:spacing w:line="336" w:lineRule="auto"/>
        <w:ind w:firstLine="0"/>
        <w:rPr>
          <w:i/>
        </w:rPr>
      </w:pPr>
      <w:r w:rsidRPr="00021C6B">
        <w:rPr>
          <w:i/>
        </w:rPr>
        <w:t>3.2.3.1.Thu thập thông tin thứ cấp</w:t>
      </w:r>
      <w:bookmarkEnd w:id="337"/>
    </w:p>
    <w:p w:rsidR="00764EB5" w:rsidRPr="00021C6B" w:rsidRDefault="00DF13CC" w:rsidP="00021C6B">
      <w:pPr>
        <w:spacing w:line="348" w:lineRule="auto"/>
        <w:ind w:firstLine="0"/>
      </w:pPr>
      <w:r>
        <w:lastRenderedPageBreak/>
        <w:tab/>
      </w:r>
      <w:bookmarkStart w:id="338" w:name="_Toc241062457"/>
      <w:r w:rsidRPr="00021C6B">
        <w:t>Nghiên cứu chủ yếu sử dụng thông tin sơ c</w:t>
      </w:r>
      <w:r w:rsidR="004B4C67" w:rsidRPr="00021C6B">
        <w:t>ấ</w:t>
      </w:r>
      <w:r w:rsidRPr="00021C6B">
        <w:t>p qua điều tra khảo sát. Một số thông tin thứ cấp dược dùng trong việc mô tả địa bàn nghien cứu, thực trạng vùng, thực trạng thị trường căn hộ chung cứ, các quy định quản lý chung cư….Các nguồn thông tin được thu từ: Các văn bản của nhà nước, các báo cáo của các bộ ngành,, các kết quả của nghiên cứu khác, các tr</w:t>
      </w:r>
      <w:r w:rsidR="00A879E0" w:rsidRPr="00021C6B">
        <w:t>an</w:t>
      </w:r>
      <w:r w:rsidRPr="00021C6B">
        <w:t>g web…</w:t>
      </w:r>
      <w:bookmarkEnd w:id="338"/>
    </w:p>
    <w:p w:rsidR="00764EB5" w:rsidRPr="00021C6B" w:rsidRDefault="00DF13CC" w:rsidP="00021C6B">
      <w:pPr>
        <w:pStyle w:val="Heading2"/>
        <w:spacing w:line="348" w:lineRule="auto"/>
        <w:rPr>
          <w:b w:val="0"/>
          <w:i/>
        </w:rPr>
      </w:pPr>
      <w:bookmarkStart w:id="339" w:name="_Toc241062458"/>
      <w:bookmarkStart w:id="340" w:name="_Toc241064382"/>
      <w:bookmarkStart w:id="341" w:name="_Toc241065315"/>
      <w:bookmarkStart w:id="342" w:name="_Toc241065526"/>
      <w:r w:rsidRPr="00021C6B">
        <w:rPr>
          <w:b w:val="0"/>
          <w:i/>
        </w:rPr>
        <w:t>3.2.3.2. Thu thập thông tin sơ cấp</w:t>
      </w:r>
      <w:bookmarkEnd w:id="339"/>
      <w:bookmarkEnd w:id="340"/>
      <w:bookmarkEnd w:id="341"/>
      <w:bookmarkEnd w:id="342"/>
      <w:r w:rsidRPr="00021C6B">
        <w:rPr>
          <w:b w:val="0"/>
          <w:i/>
        </w:rPr>
        <w:t xml:space="preserve"> </w:t>
      </w:r>
    </w:p>
    <w:p w:rsidR="00764EB5" w:rsidRDefault="00DF13CC" w:rsidP="00021C6B">
      <w:pPr>
        <w:spacing w:line="348" w:lineRule="auto"/>
        <w:rPr>
          <w:color w:val="auto"/>
        </w:rPr>
      </w:pPr>
      <w:r>
        <w:rPr>
          <w:color w:val="auto"/>
        </w:rPr>
        <w:t>Thông tin sơ cấp trong nghiên cứu được thu thập thông qua hai hình thức chính là khảo sát trực tiếp và khảo sát trực tuyến, nhằm tận dụng ưu điểm của từng phương pháp và nâng cao hiệu quả thu thập thông tin.</w:t>
      </w:r>
    </w:p>
    <w:p w:rsidR="00764EB5" w:rsidRPr="00296D82" w:rsidRDefault="00DF13CC" w:rsidP="00021C6B">
      <w:pPr>
        <w:spacing w:line="348" w:lineRule="auto"/>
        <w:rPr>
          <w:color w:val="auto"/>
          <w:spacing w:val="-4"/>
        </w:rPr>
      </w:pPr>
      <w:r w:rsidRPr="00296D82">
        <w:rPr>
          <w:color w:val="auto"/>
          <w:spacing w:val="-4"/>
        </w:rPr>
        <w:t>Thứ nhất, khảo sát trực tiếp được thực hiện tại các khu vực có mật độ khách hàng mục tiêu cao, bao gồm các khu đô thị, khu căn hộ, trung tâm thương mại và khu dân cư tại ba địa phương nghiên cứu. Phương pháp này cho phép tiếp cận trực tiếp với người trả lời, giúp giải thích rõ nội dung câu hỏi và nâng cao tỷ lệ phản hồi hợp lệ.</w:t>
      </w:r>
    </w:p>
    <w:p w:rsidR="00764EB5" w:rsidRDefault="00DF13CC" w:rsidP="00021C6B">
      <w:pPr>
        <w:spacing w:line="348" w:lineRule="auto"/>
        <w:rPr>
          <w:color w:val="auto"/>
        </w:rPr>
      </w:pPr>
      <w:r>
        <w:rPr>
          <w:color w:val="auto"/>
        </w:rPr>
        <w:t>Thứ hai, khảo sát trực tuyến được triển khai thông qua bảng hỏi điện tử, giúp mở rộng phạm vi tiếp cận đến các nhóm khách hàng khác nhau, đặc biệt là nhóm khách hàng trẻ, nhân viên văn phòng và những người đang tìm hiểu thông tin về bất động sản trên các nền tảng số. Phương pháp này giúp tiết kiệm chi phí và thời gian, đồng thời tăng khả năng thu thập dữ liệu với quy mô lớn.</w:t>
      </w:r>
    </w:p>
    <w:p w:rsidR="00764EB5" w:rsidRDefault="00DF13CC" w:rsidP="00021C6B">
      <w:pPr>
        <w:spacing w:line="348" w:lineRule="auto"/>
        <w:rPr>
          <w:color w:val="auto"/>
        </w:rPr>
      </w:pPr>
      <w:r>
        <w:rPr>
          <w:color w:val="auto"/>
        </w:rPr>
        <w:t>Việc kết hợp hai hình thức thu thập dữ liệu nhằm:</w:t>
      </w:r>
    </w:p>
    <w:p w:rsidR="00764EB5" w:rsidRDefault="00DF13CC" w:rsidP="00021C6B">
      <w:pPr>
        <w:numPr>
          <w:ilvl w:val="0"/>
          <w:numId w:val="6"/>
        </w:numPr>
        <w:spacing w:line="348" w:lineRule="auto"/>
        <w:rPr>
          <w:color w:val="auto"/>
        </w:rPr>
      </w:pPr>
      <w:r>
        <w:rPr>
          <w:color w:val="auto"/>
        </w:rPr>
        <w:t>Mở rộng khả năng tiếp cận các nhóm người trả lời khác nhau;</w:t>
      </w:r>
    </w:p>
    <w:p w:rsidR="00764EB5" w:rsidRDefault="00DF13CC" w:rsidP="00021C6B">
      <w:pPr>
        <w:numPr>
          <w:ilvl w:val="0"/>
          <w:numId w:val="6"/>
        </w:numPr>
        <w:spacing w:line="348" w:lineRule="auto"/>
        <w:rPr>
          <w:color w:val="auto"/>
        </w:rPr>
      </w:pPr>
      <w:r>
        <w:rPr>
          <w:color w:val="auto"/>
        </w:rPr>
        <w:t>Hạn chế sự phụ thuộc vào một kênh thu thập duy nhất;</w:t>
      </w:r>
    </w:p>
    <w:p w:rsidR="00764EB5" w:rsidRDefault="00DF13CC" w:rsidP="00021C6B">
      <w:pPr>
        <w:numPr>
          <w:ilvl w:val="0"/>
          <w:numId w:val="6"/>
        </w:numPr>
        <w:spacing w:line="348" w:lineRule="auto"/>
        <w:rPr>
          <w:color w:val="auto"/>
        </w:rPr>
      </w:pPr>
      <w:r>
        <w:rPr>
          <w:color w:val="auto"/>
        </w:rPr>
        <w:t>Tăng số lượng phản hồi hợp lệ trong điều kiện nguồn lực nghiên cứu; phương pháp này không bảo đảm tính đại diện xác suất của mẫu.</w:t>
      </w:r>
    </w:p>
    <w:p w:rsidR="00764EB5" w:rsidRDefault="00DF13CC" w:rsidP="00021C6B">
      <w:pPr>
        <w:spacing w:line="348" w:lineRule="auto"/>
        <w:ind w:left="720" w:firstLine="0"/>
        <w:rPr>
          <w:color w:val="auto"/>
        </w:rPr>
      </w:pPr>
      <w:r>
        <w:rPr>
          <w:color w:val="auto"/>
        </w:rPr>
        <w:t>Thu thập thông tin sơ cấp qua một số bước như:</w:t>
      </w:r>
    </w:p>
    <w:p w:rsidR="00764EB5" w:rsidRDefault="00DF13CC" w:rsidP="00021C6B">
      <w:pPr>
        <w:spacing w:line="348" w:lineRule="auto"/>
        <w:ind w:left="720" w:firstLine="0"/>
        <w:rPr>
          <w:b/>
        </w:rPr>
      </w:pPr>
      <w:r>
        <w:rPr>
          <w:b/>
          <w:color w:val="auto"/>
        </w:rPr>
        <w:t xml:space="preserve">Bước 1: </w:t>
      </w:r>
      <w:r>
        <w:rPr>
          <w:b/>
        </w:rPr>
        <w:t xml:space="preserve">Thu thập thông tin ban đầu qua nghiên cứu định tính </w:t>
      </w:r>
    </w:p>
    <w:p w:rsidR="00764EB5" w:rsidRDefault="00DF13CC" w:rsidP="00021C6B">
      <w:pPr>
        <w:spacing w:line="348" w:lineRule="auto"/>
        <w:rPr>
          <w:color w:val="auto"/>
        </w:rPr>
      </w:pPr>
      <w:r>
        <w:rPr>
          <w:color w:val="auto"/>
        </w:rPr>
        <w:t xml:space="preserve">Trong quy trình nghiên cứu, giai đoạn nghiên cứu định tính đóng vai trò quan trọng nhằm đảm bảo tính phù hợp của mô hình nghiên cứu và thang đo trong bối cảnh cụ thể của thị trường căn hộ chung cư tại Việt Nam, đặc biệt là khu vực Đông Nam Bộ. Nếu như phần tổng quan lý thuyết giúp xác định các biến nghiên cứu trên phương diện học thuật, thì nghiên cứu định tính cho phép kiểm chứng và điều chỉnh </w:t>
      </w:r>
      <w:r>
        <w:rPr>
          <w:color w:val="auto"/>
        </w:rPr>
        <w:lastRenderedPageBreak/>
        <w:t>các khái niệm này dưới góc độ thực tiễn, từ đó nâng cao độ giá trị nội dung (content validity) của thang đo (Hair et al., 2019).</w:t>
      </w:r>
    </w:p>
    <w:p w:rsidR="00764EB5" w:rsidRDefault="00DF13CC" w:rsidP="00296D82">
      <w:pPr>
        <w:spacing w:line="353" w:lineRule="auto"/>
        <w:rPr>
          <w:color w:val="auto"/>
        </w:rPr>
      </w:pPr>
      <w:r>
        <w:rPr>
          <w:color w:val="auto"/>
        </w:rPr>
        <w:t>Nghiên cứu định tính được thiết kế theo hình thức phỏng vấn bán cấu trúc và lựa chọn người tham gia có chủ đích. Ba nhóm được tiếp cận gồm: (i) giảng viên, nhà nghiên cứu về quản trị, marketing hoặc bất động sản; (ii) nhà quản lý, nhân sự phát triển dự án, kinh doanh hoặc môi giới căn hộ; và (iii) người tiêu dùng đã tìm hiểu, cân nhắc hoặc mua căn hộ tại vùng Đông Nam Bộ. Tiêu chí lựa chọn là có hiểu biết trực tiếp về nội dung nghiên cứu, có khả năng đánh giá ngôn ngữ thang đo và tự nguyện tham gia.</w:t>
      </w:r>
    </w:p>
    <w:p w:rsidR="00764EB5" w:rsidRDefault="00DF13CC" w:rsidP="00296D82">
      <w:pPr>
        <w:spacing w:line="353" w:lineRule="auto"/>
        <w:rPr>
          <w:color w:val="auto"/>
        </w:rPr>
      </w:pPr>
      <w:r>
        <w:rPr>
          <w:color w:val="auto"/>
        </w:rPr>
        <w:t>Nội dung phỏng vấn tập trung vào mức độ phù hợp của mô hình, phạm vi nội hàm của từng khái niệm, tính rõ ràng của biến quan sát, sự khác biệt giữa Ý định mua và mức độ sẵn sàng ra quyết định mua, cũng như cách phản ánh các thuộc tính pháp lý, vị trí, uy tín chủ đầu tư, phong thủy và khả năng tài chính trong mô hình.</w:t>
      </w:r>
    </w:p>
    <w:p w:rsidR="00764EB5" w:rsidRDefault="00DF13CC" w:rsidP="00296D82">
      <w:pPr>
        <w:spacing w:line="353" w:lineRule="auto"/>
        <w:rPr>
          <w:color w:val="auto"/>
        </w:rPr>
      </w:pPr>
      <w:r>
        <w:rPr>
          <w:color w:val="auto"/>
        </w:rPr>
        <w:t>Thông tin, dữ liệu được ghi nhận dưới dạng ghi chép có cấu trúc, sau đó mã hóa theo chủ đề. Quy trình phân tích gồm: đọc toàn bộ nội dung; xác định đơn vị ý nghĩa; nhóm các ý kiến tương đồng; đối chiếu ý kiến khác biệt; và so sánh với cơ sở lý thuyết trước khi quyết định giữ nguyên, hiệu chỉnh hoặc loại bỏ biến quan sát. Việc thu thập kết thúc khi các cuộc trao đổi bổ sung không tạo ra chủ đề mới có ý nghĩa đối với việc hiệu chỉnh thang đo.</w:t>
      </w:r>
    </w:p>
    <w:p w:rsidR="00296D82" w:rsidRDefault="00DF13CC" w:rsidP="00296D82">
      <w:pPr>
        <w:spacing w:line="353" w:lineRule="auto"/>
        <w:rPr>
          <w:color w:val="auto"/>
        </w:rPr>
      </w:pPr>
      <w:r>
        <w:rPr>
          <w:color w:val="auto"/>
        </w:rPr>
        <w:t>Thông tin định danh của người tham gia được bảo mật. Hồ sơ tóm tắt, thời điểm phỏng vấn và căn cứ hiệu chỉnh từng biến quan sát cần được đối chiếu với biên bản nghiên cứu gốc và trình bày tại phụ lục trước khi nộp lưu chiểu; luận án không bổ sung hoặc suy đoán dữ liệu định tính không có trong hồ sơ. Trong phạm vi hiện có, kết quả định tính chỉ được sử dụng để kiểm tra giá trị nội dung và ngôn ngữ thang đo, không được xem là bằng chứng độc lập để suy rộng cho thị trường.</w:t>
      </w:r>
    </w:p>
    <w:p w:rsidR="00764EB5" w:rsidRDefault="00DF13CC" w:rsidP="00296D82">
      <w:pPr>
        <w:spacing w:line="353" w:lineRule="auto"/>
      </w:pPr>
      <w:r>
        <w:t>Phân tích  các thông tin từ nghiên cứu định tính sẽ có cơ sở cho hiệu chỉnh thang đo.Việc hiệu chỉnh thang đo được thực hiện trên cơ sở đối chiếu ba nguồn: nội hàm khái niệm từ lý thuyết, cách sử dụng thang đo trong các nghiên cứu trước và ý kiến của người tham gia nghiên cứu định tính. Một biến quan sát chỉ được giữ lại khi bảo đảm tính dễ hiểu, phù hợp với bối cảnh căn hộ chung cư và không trùng lặp rõ rệt với biến thuộc khái niệm khác.</w:t>
      </w:r>
    </w:p>
    <w:p w:rsidR="00764EB5" w:rsidRDefault="00DF13CC" w:rsidP="00021C6B">
      <w:pPr>
        <w:spacing w:line="336" w:lineRule="auto"/>
        <w:rPr>
          <w:color w:val="auto"/>
        </w:rPr>
      </w:pPr>
      <w:r>
        <w:rPr>
          <w:color w:val="auto"/>
        </w:rPr>
        <w:lastRenderedPageBreak/>
        <w:t>Đối với Thái độ, các phát biểu được định hướng vào đánh giá đối với hành vi mua. Đối với Nhận thức kiểm soát hành vi, nội dung tập trung vào khả năng tài chính, tiếp cận thông tin và khả năng kiểm soát việc mua. Đối với GTCN, các phát biểu phản ánh đánh giá tổng hợp về thuộc tính và mức độ đáng mua của căn hộ; kết quả không được dùng để kết luận tác động riêng của từng thuộc tính. Đối với YDM và QDM, ngữ nghĩa được phân biệt theo hướng: YDM phản ánh dự định/kế hoạch, còn QDM phản ánh mức độ sẵn sàng tiến đến thủ tục và giao dịch.</w:t>
      </w:r>
    </w:p>
    <w:p w:rsidR="00764EB5" w:rsidRDefault="00DF13CC" w:rsidP="00021C6B">
      <w:pPr>
        <w:spacing w:line="336" w:lineRule="auto"/>
        <w:rPr>
          <w:color w:val="auto"/>
        </w:rPr>
      </w:pPr>
      <w:r>
        <w:rPr>
          <w:color w:val="auto"/>
        </w:rPr>
        <w:t>Bảng tổng hợp ý kiến và quyết định hiệu chỉnh được bổ sung tại phụ lục để tăng khả năng kiểm tra. Những nội dung chưa có minh chứng trong hồ sơ gốc được ghi nhận như giới hạn của nghiên cứu, thay vì được bổ sung bằng dữ liệu suy đoán.</w:t>
      </w:r>
    </w:p>
    <w:p w:rsidR="00764EB5" w:rsidRDefault="00DF13CC" w:rsidP="00021C6B">
      <w:pPr>
        <w:pStyle w:val="Heading2"/>
        <w:spacing w:line="336" w:lineRule="auto"/>
      </w:pPr>
      <w:bookmarkStart w:id="343" w:name="_Toc238480617"/>
      <w:bookmarkStart w:id="344" w:name="_Toc241062459"/>
      <w:bookmarkStart w:id="345" w:name="_Toc241064383"/>
      <w:bookmarkStart w:id="346" w:name="_Toc241065316"/>
      <w:bookmarkStart w:id="347" w:name="_Toc241065527"/>
      <w:r>
        <w:t>Bước 2:  Thiết kế bảng hỏi</w:t>
      </w:r>
      <w:bookmarkEnd w:id="343"/>
      <w:bookmarkEnd w:id="344"/>
      <w:bookmarkEnd w:id="345"/>
      <w:bookmarkEnd w:id="346"/>
      <w:bookmarkEnd w:id="347"/>
    </w:p>
    <w:p w:rsidR="00764EB5" w:rsidRDefault="00DF13CC" w:rsidP="00021C6B">
      <w:pPr>
        <w:spacing w:line="336" w:lineRule="auto"/>
        <w:rPr>
          <w:color w:val="auto"/>
        </w:rPr>
      </w:pPr>
      <w:r>
        <w:rPr>
          <w:color w:val="auto"/>
        </w:rPr>
        <w:t>Bảng hỏi khảo sát được xây dựng nhằm thu thập dữ liệu phục vụ kiểm định mô hình nghiên cứu đề xuất dựa trên lý thuyết TPB mở rộng, bao gồm các nhóm yếu tố: Thái độ, Chuẩn chủ quan, Nhận thức kiểm soát hành vi, Giá trị cảm nhận căn hộ, Ý định mua và mức độ sẵn sàng ra quyết định mua. Quá trình thiết kế bảng hỏi được thực hiện dựa trên nguyên tắc kế thừa thang đo từ các nghiên cứu trước kết hợp với hiệu chỉnh thông qua nghiên cứu định tính, nhằm đảm bảo tính phù hợp với bối cảnh thị trường căn hộ chung cư tại Đông Nam Bộ.</w:t>
      </w:r>
    </w:p>
    <w:p w:rsidR="00764EB5" w:rsidRDefault="00DF13CC" w:rsidP="00021C6B">
      <w:pPr>
        <w:pStyle w:val="Heading3"/>
        <w:spacing w:line="336" w:lineRule="auto"/>
      </w:pPr>
      <w:bookmarkStart w:id="348" w:name="_Toc238480618"/>
      <w:bookmarkStart w:id="349" w:name="_Toc241062460"/>
      <w:bookmarkStart w:id="350" w:name="_Toc241064384"/>
      <w:bookmarkStart w:id="351" w:name="_Toc241065317"/>
      <w:bookmarkStart w:id="352" w:name="_Toc241065528"/>
      <w:r>
        <w:t>Cấu trúc bảng hỏi</w:t>
      </w:r>
      <w:bookmarkEnd w:id="348"/>
      <w:r>
        <w:t xml:space="preserve">  được thiết kế thành ba phần chính, đảm bảo tính logic và thuận tiện cho người trả lời:</w:t>
      </w:r>
      <w:bookmarkEnd w:id="349"/>
      <w:bookmarkEnd w:id="350"/>
      <w:bookmarkEnd w:id="351"/>
      <w:bookmarkEnd w:id="352"/>
      <w:r>
        <w:t xml:space="preserve">  </w:t>
      </w:r>
    </w:p>
    <w:p w:rsidR="00764EB5" w:rsidRDefault="00DF13CC" w:rsidP="00021C6B">
      <w:pPr>
        <w:spacing w:line="336" w:lineRule="auto"/>
        <w:rPr>
          <w:b/>
          <w:bCs/>
          <w:color w:val="auto"/>
        </w:rPr>
      </w:pPr>
      <w:r>
        <w:rPr>
          <w:b/>
          <w:bCs/>
          <w:color w:val="auto"/>
        </w:rPr>
        <w:t>(1) Phần A: Câu hỏi sàng lọc</w:t>
      </w:r>
    </w:p>
    <w:p w:rsidR="00764EB5" w:rsidRDefault="00DF13CC" w:rsidP="00021C6B">
      <w:pPr>
        <w:spacing w:line="336" w:lineRule="auto"/>
        <w:rPr>
          <w:color w:val="auto"/>
        </w:rPr>
      </w:pPr>
      <w:r>
        <w:rPr>
          <w:color w:val="auto"/>
        </w:rPr>
        <w:t>Phần này nhằm đảm bảo đối tượng khảo sát phù hợp với mục tiêu nghiên cứu, bao gồm các tiêu chí:</w:t>
      </w:r>
    </w:p>
    <w:p w:rsidR="00764EB5" w:rsidRDefault="00DF13CC" w:rsidP="00021C6B">
      <w:pPr>
        <w:numPr>
          <w:ilvl w:val="0"/>
          <w:numId w:val="7"/>
        </w:numPr>
        <w:spacing w:line="336" w:lineRule="auto"/>
        <w:rPr>
          <w:color w:val="auto"/>
        </w:rPr>
      </w:pPr>
      <w:r>
        <w:rPr>
          <w:color w:val="auto"/>
        </w:rPr>
        <w:t>Đang sinh sống/làm việc tại Đông Nam Bộ</w:t>
      </w:r>
    </w:p>
    <w:p w:rsidR="00764EB5" w:rsidRDefault="00DF13CC" w:rsidP="00021C6B">
      <w:pPr>
        <w:numPr>
          <w:ilvl w:val="0"/>
          <w:numId w:val="7"/>
        </w:numPr>
        <w:spacing w:line="336" w:lineRule="auto"/>
        <w:rPr>
          <w:color w:val="auto"/>
        </w:rPr>
      </w:pPr>
      <w:r>
        <w:rPr>
          <w:color w:val="auto"/>
        </w:rPr>
        <w:t>Có nhu cầu hoặc đã từng quan tâm đến việc mua căn hộ chung cư</w:t>
      </w:r>
    </w:p>
    <w:p w:rsidR="00764EB5" w:rsidRDefault="00DF13CC" w:rsidP="00021C6B">
      <w:pPr>
        <w:numPr>
          <w:ilvl w:val="0"/>
          <w:numId w:val="7"/>
        </w:numPr>
        <w:spacing w:line="336" w:lineRule="auto"/>
        <w:rPr>
          <w:color w:val="auto"/>
        </w:rPr>
      </w:pPr>
      <w:r>
        <w:rPr>
          <w:color w:val="auto"/>
        </w:rPr>
        <w:t>Có tham gia vào quyết định mua</w:t>
      </w:r>
    </w:p>
    <w:p w:rsidR="00764EB5" w:rsidRPr="00296D82" w:rsidRDefault="00DF13CC" w:rsidP="00021C6B">
      <w:pPr>
        <w:spacing w:line="336" w:lineRule="auto"/>
        <w:rPr>
          <w:color w:val="auto"/>
          <w:spacing w:val="-4"/>
        </w:rPr>
      </w:pPr>
      <w:r w:rsidRPr="00296D82">
        <w:rPr>
          <w:color w:val="auto"/>
          <w:spacing w:val="-4"/>
        </w:rPr>
        <w:t>Việc sử dụng câu hỏi sàng lọc giúp loại bỏ các trường hợp không đáp ứng tiêu chí đối tượng nghiên cứu và tăng mức độ phù hợp giữa người trả lời với mục tiêu khảo sát; đây không phải là cơ chế bảo đảm tính đại diện của mẫu (Hair et al., 2019).</w:t>
      </w:r>
    </w:p>
    <w:p w:rsidR="00764EB5" w:rsidRDefault="00DF13CC" w:rsidP="00021C6B">
      <w:pPr>
        <w:spacing w:line="336" w:lineRule="auto"/>
        <w:rPr>
          <w:b/>
          <w:bCs/>
          <w:color w:val="auto"/>
        </w:rPr>
      </w:pPr>
      <w:r>
        <w:rPr>
          <w:b/>
          <w:bCs/>
          <w:color w:val="auto"/>
        </w:rPr>
        <w:t>(2) Phần B: Thông tin cá nhân</w:t>
      </w:r>
    </w:p>
    <w:p w:rsidR="00764EB5" w:rsidRDefault="00DF13CC" w:rsidP="00021C6B">
      <w:pPr>
        <w:spacing w:line="336" w:lineRule="auto"/>
        <w:rPr>
          <w:color w:val="auto"/>
        </w:rPr>
      </w:pPr>
      <w:r>
        <w:rPr>
          <w:color w:val="auto"/>
        </w:rPr>
        <w:t>Phần này thu thập các thông tin nhân khẩu học như:</w:t>
      </w:r>
    </w:p>
    <w:p w:rsidR="00764EB5" w:rsidRDefault="00DF13CC" w:rsidP="00021C6B">
      <w:pPr>
        <w:numPr>
          <w:ilvl w:val="0"/>
          <w:numId w:val="8"/>
        </w:numPr>
        <w:spacing w:line="336" w:lineRule="auto"/>
        <w:rPr>
          <w:color w:val="auto"/>
        </w:rPr>
      </w:pPr>
      <w:r>
        <w:rPr>
          <w:color w:val="auto"/>
        </w:rPr>
        <w:t>Giới tính, độ tuổi, tình trạng hôn nhân</w:t>
      </w:r>
    </w:p>
    <w:p w:rsidR="00764EB5" w:rsidRDefault="00DF13CC" w:rsidP="00021C6B">
      <w:pPr>
        <w:numPr>
          <w:ilvl w:val="0"/>
          <w:numId w:val="8"/>
        </w:numPr>
        <w:spacing w:line="336" w:lineRule="auto"/>
        <w:rPr>
          <w:color w:val="auto"/>
        </w:rPr>
      </w:pPr>
      <w:r>
        <w:rPr>
          <w:color w:val="auto"/>
        </w:rPr>
        <w:lastRenderedPageBreak/>
        <w:t>Trình độ học vấn, nghề nghiệp</w:t>
      </w:r>
    </w:p>
    <w:p w:rsidR="00764EB5" w:rsidRDefault="00DF13CC" w:rsidP="00021C6B">
      <w:pPr>
        <w:numPr>
          <w:ilvl w:val="0"/>
          <w:numId w:val="8"/>
        </w:numPr>
        <w:spacing w:line="336" w:lineRule="auto"/>
        <w:rPr>
          <w:color w:val="auto"/>
        </w:rPr>
      </w:pPr>
      <w:r>
        <w:rPr>
          <w:color w:val="auto"/>
        </w:rPr>
        <w:t>Thu nhập, kinh nghiệm mua bất động sản</w:t>
      </w:r>
    </w:p>
    <w:p w:rsidR="00764EB5" w:rsidRDefault="00DF13CC" w:rsidP="00021C6B">
      <w:pPr>
        <w:numPr>
          <w:ilvl w:val="0"/>
          <w:numId w:val="8"/>
        </w:numPr>
        <w:spacing w:line="336" w:lineRule="auto"/>
        <w:rPr>
          <w:color w:val="auto"/>
        </w:rPr>
      </w:pPr>
      <w:r>
        <w:rPr>
          <w:color w:val="auto"/>
        </w:rPr>
        <w:t>Ngân sách và nguồn tài chính</w:t>
      </w:r>
    </w:p>
    <w:p w:rsidR="00764EB5" w:rsidRDefault="00DF13CC" w:rsidP="00021C6B">
      <w:pPr>
        <w:spacing w:line="336" w:lineRule="auto"/>
        <w:rPr>
          <w:color w:val="auto"/>
        </w:rPr>
      </w:pPr>
      <w:r>
        <w:rPr>
          <w:color w:val="auto"/>
        </w:rPr>
        <w:t>Các biến này đóng vai trò:</w:t>
      </w:r>
    </w:p>
    <w:p w:rsidR="00764EB5" w:rsidRDefault="00DF13CC" w:rsidP="00021C6B">
      <w:pPr>
        <w:numPr>
          <w:ilvl w:val="0"/>
          <w:numId w:val="9"/>
        </w:numPr>
        <w:spacing w:line="336" w:lineRule="auto"/>
        <w:rPr>
          <w:color w:val="auto"/>
        </w:rPr>
      </w:pPr>
      <w:r>
        <w:rPr>
          <w:color w:val="auto"/>
        </w:rPr>
        <w:t>Mô tả đặc điểm mẫu nghiên cứu</w:t>
      </w:r>
    </w:p>
    <w:p w:rsidR="00764EB5" w:rsidRDefault="00DF13CC" w:rsidP="00021C6B">
      <w:pPr>
        <w:spacing w:line="336" w:lineRule="auto"/>
        <w:rPr>
          <w:b/>
          <w:bCs/>
          <w:color w:val="auto"/>
        </w:rPr>
      </w:pPr>
      <w:r>
        <w:rPr>
          <w:b/>
          <w:bCs/>
          <w:color w:val="auto"/>
        </w:rPr>
        <w:t>(3) Phần C: Nội dung khảo sát</w:t>
      </w:r>
    </w:p>
    <w:p w:rsidR="00764EB5" w:rsidRDefault="00DF13CC" w:rsidP="00021C6B">
      <w:pPr>
        <w:spacing w:line="336" w:lineRule="auto"/>
        <w:rPr>
          <w:color w:val="auto"/>
        </w:rPr>
      </w:pPr>
      <w:r>
        <w:rPr>
          <w:color w:val="auto"/>
        </w:rPr>
        <w:t>Phần này sử dụng thang đo Likert 5 điểm (1 = Hoàn toàn không đồng ý đến 5 = Hoàn toàn đồng ý) để đo lường các biến nghiên cứu.</w:t>
      </w:r>
    </w:p>
    <w:p w:rsidR="00764EB5" w:rsidRDefault="00DF13CC" w:rsidP="00021C6B">
      <w:pPr>
        <w:spacing w:line="336" w:lineRule="auto"/>
        <w:rPr>
          <w:color w:val="auto"/>
        </w:rPr>
      </w:pPr>
      <w:r>
        <w:rPr>
          <w:color w:val="auto"/>
        </w:rPr>
        <w:t>Việc sử dụng thang Likert là phù hợp trong nghiên cứu hành vi vì giúp lượng hóa các yếu tố nhận thức và thái độ (Likert, 1932; Hair và cộng sự, 2019).</w:t>
      </w:r>
    </w:p>
    <w:p w:rsidR="00764EB5" w:rsidRDefault="00DF13CC" w:rsidP="00021C6B">
      <w:pPr>
        <w:pStyle w:val="Heading3"/>
        <w:spacing w:line="336" w:lineRule="auto"/>
      </w:pPr>
      <w:bookmarkStart w:id="353" w:name="_Toc241062461"/>
      <w:bookmarkStart w:id="354" w:name="_Toc241064385"/>
      <w:bookmarkStart w:id="355" w:name="_Toc241065318"/>
      <w:bookmarkStart w:id="356" w:name="_Toc241065529"/>
      <w:r>
        <w:t>Phần A: Câu hỏi sàng lọc;  Phần B: Thông tin cá nhân;  Phần C: Nội dung khảo sát (Phụ lục)</w:t>
      </w:r>
      <w:bookmarkEnd w:id="353"/>
      <w:bookmarkEnd w:id="354"/>
      <w:bookmarkEnd w:id="355"/>
      <w:bookmarkEnd w:id="356"/>
    </w:p>
    <w:p w:rsidR="00764EB5" w:rsidRDefault="00DF13CC" w:rsidP="00021C6B">
      <w:pPr>
        <w:spacing w:line="336" w:lineRule="auto"/>
        <w:rPr>
          <w:b/>
          <w:i/>
        </w:rPr>
      </w:pPr>
      <w:r>
        <w:rPr>
          <w:b/>
          <w:i/>
        </w:rPr>
        <w:t>Bước 3.</w:t>
      </w:r>
      <w:bookmarkStart w:id="357" w:name="_Toc238480619"/>
      <w:r>
        <w:rPr>
          <w:b/>
          <w:i/>
        </w:rPr>
        <w:t xml:space="preserve"> Xây dựng thang đo các biến nghiên cứu</w:t>
      </w:r>
      <w:bookmarkEnd w:id="357"/>
    </w:p>
    <w:p w:rsidR="00764EB5" w:rsidRDefault="00DF13CC" w:rsidP="00021C6B">
      <w:pPr>
        <w:spacing w:line="336" w:lineRule="auto"/>
        <w:rPr>
          <w:b/>
          <w:bCs/>
          <w:color w:val="auto"/>
        </w:rPr>
      </w:pPr>
      <w:r>
        <w:rPr>
          <w:b/>
          <w:bCs/>
          <w:color w:val="auto"/>
        </w:rPr>
        <w:t xml:space="preserve"> (1) Thang đo Thái độ đối với căn hộ chung cư (TD)</w:t>
      </w:r>
    </w:p>
    <w:p w:rsidR="00764EB5" w:rsidRDefault="00DF13CC" w:rsidP="00021C6B">
      <w:pPr>
        <w:spacing w:line="336" w:lineRule="auto"/>
        <w:rPr>
          <w:color w:val="auto"/>
        </w:rPr>
      </w:pPr>
      <w:r>
        <w:rPr>
          <w:color w:val="auto"/>
        </w:rPr>
        <w:t>Thang đo này phản ánh mức độ đánh giá tích cực của khách hàng đối với việc mua căn hộ.</w:t>
      </w:r>
    </w:p>
    <w:p w:rsidR="00764EB5" w:rsidRDefault="00DF13CC" w:rsidP="00BF5505">
      <w:pPr>
        <w:pStyle w:val="DMB"/>
        <w:outlineLvl w:val="0"/>
      </w:pPr>
      <w:bookmarkStart w:id="358" w:name="__RefHeading___Toc7825_1147916741"/>
      <w:bookmarkStart w:id="359" w:name="_Toc226534656"/>
      <w:bookmarkStart w:id="360" w:name="_Toc238482016"/>
      <w:bookmarkStart w:id="361" w:name="_Toc241065530"/>
      <w:bookmarkEnd w:id="358"/>
      <w:r>
        <w:t>Bảng 3.</w:t>
      </w:r>
      <w:r w:rsidR="002E378C">
        <w:fldChar w:fldCharType="begin"/>
      </w:r>
      <w:r w:rsidR="002E378C">
        <w:instrText xml:space="preserve"> SEQ Bảng_3. \* ARABIC </w:instrText>
      </w:r>
      <w:r w:rsidR="002E378C">
        <w:fldChar w:fldCharType="separate"/>
      </w:r>
      <w:r w:rsidR="00783A1B">
        <w:rPr>
          <w:noProof/>
        </w:rPr>
        <w:t>1</w:t>
      </w:r>
      <w:r w:rsidR="002E378C">
        <w:rPr>
          <w:noProof/>
        </w:rPr>
        <w:fldChar w:fldCharType="end"/>
      </w:r>
      <w:r>
        <w:t>. Thang đo Thái độ đối với căn hộ chung cư (TD)</w:t>
      </w:r>
      <w:bookmarkEnd w:id="359"/>
      <w:bookmarkEnd w:id="360"/>
      <w:bookmarkEnd w:id="361"/>
    </w:p>
    <w:tbl>
      <w:tblPr>
        <w:tblW w:w="5047" w:type="pct"/>
        <w:tblLayout w:type="fixed"/>
        <w:tblLook w:val="04A0" w:firstRow="1" w:lastRow="0" w:firstColumn="1" w:lastColumn="0" w:noHBand="0" w:noVBand="1"/>
      </w:tblPr>
      <w:tblGrid>
        <w:gridCol w:w="1239"/>
        <w:gridCol w:w="5009"/>
        <w:gridCol w:w="2840"/>
      </w:tblGrid>
      <w:tr w:rsidR="00764EB5" w:rsidTr="00021C6B">
        <w:tc>
          <w:tcPr>
            <w:tcW w:w="1208" w:type="dxa"/>
            <w:tcBorders>
              <w:top w:val="single" w:sz="4" w:space="0" w:color="000000"/>
              <w:left w:val="single" w:sz="4" w:space="0" w:color="000000"/>
              <w:bottom w:val="single" w:sz="4" w:space="0" w:color="000000"/>
              <w:right w:val="single" w:sz="4" w:space="0" w:color="000000"/>
            </w:tcBorders>
            <w:vAlign w:val="center"/>
          </w:tcPr>
          <w:p w:rsidR="00764EB5" w:rsidRDefault="00DF13CC" w:rsidP="00021C6B">
            <w:pPr>
              <w:spacing w:line="312" w:lineRule="auto"/>
              <w:ind w:firstLine="0"/>
              <w:jc w:val="center"/>
              <w:rPr>
                <w:b/>
                <w:bCs/>
                <w:color w:val="auto"/>
              </w:rPr>
            </w:pPr>
            <w:r>
              <w:rPr>
                <w:b/>
                <w:bCs/>
                <w:color w:val="auto"/>
              </w:rPr>
              <w:t>Mã hóa</w:t>
            </w:r>
          </w:p>
        </w:tc>
        <w:tc>
          <w:tcPr>
            <w:tcW w:w="4883" w:type="dxa"/>
            <w:tcBorders>
              <w:top w:val="single" w:sz="4" w:space="0" w:color="000000"/>
              <w:left w:val="single" w:sz="4" w:space="0" w:color="000000"/>
              <w:bottom w:val="single" w:sz="4" w:space="0" w:color="000000"/>
              <w:right w:val="single" w:sz="4" w:space="0" w:color="000000"/>
            </w:tcBorders>
            <w:vAlign w:val="center"/>
          </w:tcPr>
          <w:p w:rsidR="00764EB5" w:rsidRDefault="00DF13CC" w:rsidP="00021C6B">
            <w:pPr>
              <w:spacing w:line="312" w:lineRule="auto"/>
              <w:ind w:firstLine="0"/>
              <w:jc w:val="center"/>
              <w:rPr>
                <w:b/>
                <w:bCs/>
                <w:color w:val="auto"/>
              </w:rPr>
            </w:pPr>
            <w:r>
              <w:rPr>
                <w:b/>
                <w:bCs/>
                <w:color w:val="auto"/>
              </w:rPr>
              <w:t>Nội dung phát biểu</w:t>
            </w:r>
          </w:p>
        </w:tc>
        <w:tc>
          <w:tcPr>
            <w:tcW w:w="2768" w:type="dxa"/>
            <w:tcBorders>
              <w:top w:val="single" w:sz="4" w:space="0" w:color="000000"/>
              <w:left w:val="single" w:sz="4" w:space="0" w:color="000000"/>
              <w:bottom w:val="single" w:sz="4" w:space="0" w:color="000000"/>
              <w:right w:val="single" w:sz="4" w:space="0" w:color="000000"/>
            </w:tcBorders>
            <w:vAlign w:val="center"/>
          </w:tcPr>
          <w:p w:rsidR="00764EB5" w:rsidRDefault="00DF13CC" w:rsidP="00021C6B">
            <w:pPr>
              <w:spacing w:line="312" w:lineRule="auto"/>
              <w:ind w:firstLine="0"/>
              <w:jc w:val="center"/>
              <w:rPr>
                <w:b/>
                <w:bCs/>
                <w:color w:val="auto"/>
              </w:rPr>
            </w:pPr>
            <w:r>
              <w:rPr>
                <w:b/>
                <w:bCs/>
                <w:color w:val="auto"/>
              </w:rPr>
              <w:t>Nguồn tham khảo</w:t>
            </w:r>
          </w:p>
        </w:tc>
      </w:tr>
      <w:tr w:rsidR="00764EB5" w:rsidTr="00021C6B">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021C6B">
            <w:pPr>
              <w:spacing w:line="312" w:lineRule="auto"/>
              <w:ind w:firstLine="0"/>
              <w:rPr>
                <w:color w:val="auto"/>
              </w:rPr>
            </w:pPr>
            <w:r>
              <w:rPr>
                <w:color w:val="auto"/>
              </w:rPr>
              <w:t>TD1</w:t>
            </w:r>
          </w:p>
        </w:tc>
        <w:tc>
          <w:tcPr>
            <w:tcW w:w="4883" w:type="dxa"/>
            <w:tcBorders>
              <w:top w:val="single" w:sz="4" w:space="0" w:color="000000"/>
              <w:left w:val="single" w:sz="4" w:space="0" w:color="000000"/>
              <w:bottom w:val="single" w:sz="4" w:space="0" w:color="000000"/>
              <w:right w:val="single" w:sz="4" w:space="0" w:color="000000"/>
            </w:tcBorders>
          </w:tcPr>
          <w:p w:rsidR="00764EB5" w:rsidRDefault="00DF13CC" w:rsidP="00021C6B">
            <w:pPr>
              <w:spacing w:line="312" w:lineRule="auto"/>
              <w:ind w:firstLine="0"/>
              <w:rPr>
                <w:color w:val="auto"/>
              </w:rPr>
            </w:pPr>
            <w:r>
              <w:rPr>
                <w:color w:val="auto"/>
              </w:rPr>
              <w:t>Mua căn hộ chung cư là lựa chọn hợp lý</w:t>
            </w:r>
          </w:p>
        </w:tc>
        <w:tc>
          <w:tcPr>
            <w:tcW w:w="2768" w:type="dxa"/>
            <w:vMerge w:val="restart"/>
            <w:tcBorders>
              <w:top w:val="single" w:sz="4" w:space="0" w:color="000000"/>
              <w:left w:val="single" w:sz="4" w:space="0" w:color="000000"/>
              <w:bottom w:val="single" w:sz="4" w:space="0" w:color="000000"/>
              <w:right w:val="single" w:sz="4" w:space="0" w:color="000000"/>
            </w:tcBorders>
          </w:tcPr>
          <w:p w:rsidR="00764EB5" w:rsidRDefault="00DF13CC" w:rsidP="00021C6B">
            <w:pPr>
              <w:spacing w:line="312" w:lineRule="auto"/>
              <w:ind w:firstLine="0"/>
              <w:rPr>
                <w:color w:val="auto"/>
              </w:rPr>
            </w:pPr>
            <w:r>
              <w:rPr>
                <w:color w:val="auto"/>
              </w:rPr>
              <w:t>Ajzen (1991); Fishbein and Ajzen (1975); Tan and Goh (2018); Pham Dinh et al. (2022)</w:t>
            </w:r>
          </w:p>
        </w:tc>
      </w:tr>
      <w:tr w:rsidR="00764EB5" w:rsidTr="00021C6B">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021C6B">
            <w:pPr>
              <w:spacing w:line="312" w:lineRule="auto"/>
              <w:ind w:firstLine="0"/>
              <w:rPr>
                <w:color w:val="auto"/>
              </w:rPr>
            </w:pPr>
            <w:r>
              <w:rPr>
                <w:color w:val="auto"/>
              </w:rPr>
              <w:t>TD2</w:t>
            </w:r>
          </w:p>
        </w:tc>
        <w:tc>
          <w:tcPr>
            <w:tcW w:w="4883" w:type="dxa"/>
            <w:tcBorders>
              <w:top w:val="single" w:sz="4" w:space="0" w:color="000000"/>
              <w:left w:val="single" w:sz="4" w:space="0" w:color="000000"/>
              <w:bottom w:val="single" w:sz="4" w:space="0" w:color="000000"/>
              <w:right w:val="single" w:sz="4" w:space="0" w:color="000000"/>
            </w:tcBorders>
          </w:tcPr>
          <w:p w:rsidR="00764EB5" w:rsidRDefault="00DF13CC" w:rsidP="00021C6B">
            <w:pPr>
              <w:spacing w:line="312" w:lineRule="auto"/>
              <w:ind w:firstLine="0"/>
              <w:rPr>
                <w:color w:val="auto"/>
              </w:rPr>
            </w:pPr>
            <w:r>
              <w:rPr>
                <w:color w:val="auto"/>
              </w:rPr>
              <w:t>Mua căn hộ mang lại nhiều lợi ích</w:t>
            </w:r>
          </w:p>
        </w:tc>
        <w:tc>
          <w:tcPr>
            <w:tcW w:w="2768" w:type="dxa"/>
            <w:vMerge/>
            <w:tcBorders>
              <w:top w:val="single" w:sz="4" w:space="0" w:color="000000"/>
              <w:left w:val="single" w:sz="4" w:space="0" w:color="000000"/>
              <w:bottom w:val="single" w:sz="4" w:space="0" w:color="000000"/>
              <w:right w:val="single" w:sz="4" w:space="0" w:color="000000"/>
            </w:tcBorders>
          </w:tcPr>
          <w:p w:rsidR="00764EB5" w:rsidRDefault="00764EB5" w:rsidP="00021C6B">
            <w:pPr>
              <w:spacing w:line="312" w:lineRule="auto"/>
              <w:ind w:firstLine="0"/>
              <w:rPr>
                <w:color w:val="auto"/>
              </w:rPr>
            </w:pPr>
          </w:p>
        </w:tc>
      </w:tr>
      <w:tr w:rsidR="00764EB5" w:rsidTr="00021C6B">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021C6B">
            <w:pPr>
              <w:spacing w:line="312" w:lineRule="auto"/>
              <w:ind w:firstLine="0"/>
              <w:rPr>
                <w:color w:val="auto"/>
              </w:rPr>
            </w:pPr>
            <w:r>
              <w:rPr>
                <w:color w:val="auto"/>
              </w:rPr>
              <w:t>TD3</w:t>
            </w:r>
          </w:p>
        </w:tc>
        <w:tc>
          <w:tcPr>
            <w:tcW w:w="4883" w:type="dxa"/>
            <w:tcBorders>
              <w:top w:val="single" w:sz="4" w:space="0" w:color="000000"/>
              <w:left w:val="single" w:sz="4" w:space="0" w:color="000000"/>
              <w:bottom w:val="single" w:sz="4" w:space="0" w:color="000000"/>
              <w:right w:val="single" w:sz="4" w:space="0" w:color="000000"/>
            </w:tcBorders>
          </w:tcPr>
          <w:p w:rsidR="00764EB5" w:rsidRDefault="00DF13CC" w:rsidP="00021C6B">
            <w:pPr>
              <w:spacing w:line="312" w:lineRule="auto"/>
              <w:ind w:firstLine="0"/>
              <w:rPr>
                <w:color w:val="auto"/>
              </w:rPr>
            </w:pPr>
            <w:r>
              <w:rPr>
                <w:color w:val="auto"/>
              </w:rPr>
              <w:t>Đây là quyết định đáng giá</w:t>
            </w:r>
          </w:p>
        </w:tc>
        <w:tc>
          <w:tcPr>
            <w:tcW w:w="2768" w:type="dxa"/>
            <w:vMerge/>
            <w:tcBorders>
              <w:top w:val="single" w:sz="4" w:space="0" w:color="000000"/>
              <w:left w:val="single" w:sz="4" w:space="0" w:color="000000"/>
              <w:bottom w:val="single" w:sz="4" w:space="0" w:color="000000"/>
              <w:right w:val="single" w:sz="4" w:space="0" w:color="000000"/>
            </w:tcBorders>
          </w:tcPr>
          <w:p w:rsidR="00764EB5" w:rsidRDefault="00764EB5" w:rsidP="00021C6B">
            <w:pPr>
              <w:spacing w:line="312" w:lineRule="auto"/>
              <w:ind w:firstLine="0"/>
              <w:rPr>
                <w:color w:val="auto"/>
              </w:rPr>
            </w:pPr>
          </w:p>
        </w:tc>
      </w:tr>
      <w:tr w:rsidR="00764EB5" w:rsidTr="00021C6B">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021C6B">
            <w:pPr>
              <w:spacing w:line="312" w:lineRule="auto"/>
              <w:ind w:firstLine="0"/>
              <w:rPr>
                <w:color w:val="auto"/>
              </w:rPr>
            </w:pPr>
            <w:r>
              <w:rPr>
                <w:color w:val="auto"/>
              </w:rPr>
              <w:t>TD4</w:t>
            </w:r>
          </w:p>
        </w:tc>
        <w:tc>
          <w:tcPr>
            <w:tcW w:w="4883" w:type="dxa"/>
            <w:tcBorders>
              <w:top w:val="single" w:sz="4" w:space="0" w:color="000000"/>
              <w:left w:val="single" w:sz="4" w:space="0" w:color="000000"/>
              <w:bottom w:val="single" w:sz="4" w:space="0" w:color="000000"/>
              <w:right w:val="single" w:sz="4" w:space="0" w:color="000000"/>
            </w:tcBorders>
          </w:tcPr>
          <w:p w:rsidR="00764EB5" w:rsidRDefault="00DF13CC" w:rsidP="00021C6B">
            <w:pPr>
              <w:spacing w:line="312" w:lineRule="auto"/>
              <w:ind w:firstLine="0"/>
              <w:rPr>
                <w:color w:val="auto"/>
              </w:rPr>
            </w:pPr>
            <w:r>
              <w:rPr>
                <w:color w:val="auto"/>
              </w:rPr>
              <w:t>Tôi có cảm nhận tích cực về việc mua căn hộ</w:t>
            </w:r>
          </w:p>
        </w:tc>
        <w:tc>
          <w:tcPr>
            <w:tcW w:w="2768" w:type="dxa"/>
            <w:vMerge/>
            <w:tcBorders>
              <w:top w:val="single" w:sz="4" w:space="0" w:color="000000"/>
              <w:left w:val="single" w:sz="4" w:space="0" w:color="000000"/>
              <w:bottom w:val="single" w:sz="4" w:space="0" w:color="000000"/>
              <w:right w:val="single" w:sz="4" w:space="0" w:color="000000"/>
            </w:tcBorders>
          </w:tcPr>
          <w:p w:rsidR="00764EB5" w:rsidRDefault="00764EB5" w:rsidP="00021C6B">
            <w:pPr>
              <w:spacing w:line="312" w:lineRule="auto"/>
              <w:ind w:firstLine="0"/>
              <w:rPr>
                <w:color w:val="auto"/>
              </w:rPr>
            </w:pPr>
          </w:p>
        </w:tc>
      </w:tr>
      <w:tr w:rsidR="00764EB5" w:rsidTr="00021C6B">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021C6B">
            <w:pPr>
              <w:spacing w:line="312" w:lineRule="auto"/>
              <w:ind w:firstLine="0"/>
              <w:rPr>
                <w:color w:val="auto"/>
              </w:rPr>
            </w:pPr>
            <w:r>
              <w:rPr>
                <w:color w:val="auto"/>
              </w:rPr>
              <w:t>TD5</w:t>
            </w:r>
          </w:p>
        </w:tc>
        <w:tc>
          <w:tcPr>
            <w:tcW w:w="4883" w:type="dxa"/>
            <w:tcBorders>
              <w:top w:val="single" w:sz="4" w:space="0" w:color="000000"/>
              <w:left w:val="single" w:sz="4" w:space="0" w:color="000000"/>
              <w:bottom w:val="single" w:sz="4" w:space="0" w:color="000000"/>
              <w:right w:val="single" w:sz="4" w:space="0" w:color="000000"/>
            </w:tcBorders>
          </w:tcPr>
          <w:p w:rsidR="00764EB5" w:rsidRDefault="00DF13CC" w:rsidP="00021C6B">
            <w:pPr>
              <w:spacing w:line="312" w:lineRule="auto"/>
              <w:ind w:firstLine="0"/>
              <w:rPr>
                <w:color w:val="auto"/>
              </w:rPr>
            </w:pPr>
            <w:r>
              <w:rPr>
                <w:color w:val="auto"/>
              </w:rPr>
              <w:t>Mua căn hộ là quyết định đúng đắn</w:t>
            </w:r>
          </w:p>
        </w:tc>
        <w:tc>
          <w:tcPr>
            <w:tcW w:w="2768" w:type="dxa"/>
            <w:vMerge/>
            <w:tcBorders>
              <w:top w:val="single" w:sz="4" w:space="0" w:color="000000"/>
              <w:left w:val="single" w:sz="4" w:space="0" w:color="000000"/>
              <w:bottom w:val="single" w:sz="4" w:space="0" w:color="000000"/>
              <w:right w:val="single" w:sz="4" w:space="0" w:color="000000"/>
            </w:tcBorders>
          </w:tcPr>
          <w:p w:rsidR="00764EB5" w:rsidRDefault="00764EB5" w:rsidP="00021C6B">
            <w:pPr>
              <w:spacing w:line="312" w:lineRule="auto"/>
              <w:ind w:firstLine="0"/>
              <w:rPr>
                <w:color w:val="auto"/>
              </w:rPr>
            </w:pPr>
          </w:p>
        </w:tc>
      </w:tr>
    </w:tbl>
    <w:p w:rsidR="00764EB5" w:rsidRDefault="00DF13CC" w:rsidP="003D6B28">
      <w:pPr>
        <w:jc w:val="right"/>
        <w:rPr>
          <w:i/>
          <w:iCs/>
          <w:color w:val="auto"/>
        </w:rPr>
      </w:pPr>
      <w:r>
        <w:rPr>
          <w:i/>
          <w:iCs/>
          <w:color w:val="auto"/>
        </w:rPr>
        <w:t>(Nguồn: Tác giả tổng hợp từ nhiều nguồn)</w:t>
      </w:r>
    </w:p>
    <w:p w:rsidR="00764EB5" w:rsidRDefault="00DF13CC" w:rsidP="003D6B28">
      <w:pPr>
        <w:rPr>
          <w:b/>
          <w:bCs/>
          <w:color w:val="auto"/>
        </w:rPr>
      </w:pPr>
      <w:r>
        <w:rPr>
          <w:b/>
          <w:bCs/>
          <w:color w:val="auto"/>
        </w:rPr>
        <w:t>(2) Thang đo Chuẩn chủ quan (CCQ)</w:t>
      </w:r>
    </w:p>
    <w:p w:rsidR="00764EB5" w:rsidRDefault="00DF13CC" w:rsidP="003D6B28">
      <w:pPr>
        <w:rPr>
          <w:color w:val="auto"/>
        </w:rPr>
      </w:pPr>
      <w:r>
        <w:rPr>
          <w:color w:val="auto"/>
        </w:rPr>
        <w:t>Thang đo phản ánh ảnh hưởng của các yếu tố xã hội.</w:t>
      </w:r>
    </w:p>
    <w:p w:rsidR="00764EB5" w:rsidRDefault="00DF13CC" w:rsidP="00BF5505">
      <w:pPr>
        <w:pStyle w:val="DMB"/>
        <w:outlineLvl w:val="0"/>
      </w:pPr>
      <w:bookmarkStart w:id="362" w:name="__RefHeading___Toc7823_1147916741"/>
      <w:bookmarkStart w:id="363" w:name="_Toc226534657"/>
      <w:bookmarkStart w:id="364" w:name="_Toc238482017"/>
      <w:bookmarkStart w:id="365" w:name="_Toc241065531"/>
      <w:bookmarkEnd w:id="362"/>
      <w:r>
        <w:t>Bảng 3.</w:t>
      </w:r>
      <w:r w:rsidR="002E378C">
        <w:fldChar w:fldCharType="begin"/>
      </w:r>
      <w:r w:rsidR="002E378C">
        <w:instrText xml:space="preserve"> SEQ Bảng_3. \* ARABIC </w:instrText>
      </w:r>
      <w:r w:rsidR="002E378C">
        <w:fldChar w:fldCharType="separate"/>
      </w:r>
      <w:r w:rsidR="00783A1B">
        <w:rPr>
          <w:noProof/>
        </w:rPr>
        <w:t>2</w:t>
      </w:r>
      <w:r w:rsidR="002E378C">
        <w:rPr>
          <w:noProof/>
        </w:rPr>
        <w:fldChar w:fldCharType="end"/>
      </w:r>
      <w:r>
        <w:t>. Thang đo Chuẩn chủ quan (CCQ)</w:t>
      </w:r>
      <w:bookmarkEnd w:id="363"/>
      <w:bookmarkEnd w:id="364"/>
      <w:bookmarkEnd w:id="365"/>
    </w:p>
    <w:tbl>
      <w:tblPr>
        <w:tblW w:w="5060" w:type="pct"/>
        <w:tblLayout w:type="fixed"/>
        <w:tblLook w:val="04A0" w:firstRow="1" w:lastRow="0" w:firstColumn="1" w:lastColumn="0" w:noHBand="0" w:noVBand="1"/>
      </w:tblPr>
      <w:tblGrid>
        <w:gridCol w:w="1239"/>
        <w:gridCol w:w="5735"/>
        <w:gridCol w:w="2137"/>
      </w:tblGrid>
      <w:tr w:rsidR="00764EB5" w:rsidTr="00021C6B">
        <w:tc>
          <w:tcPr>
            <w:tcW w:w="1208"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firstLine="0"/>
              <w:jc w:val="center"/>
              <w:rPr>
                <w:b/>
                <w:bCs/>
                <w:color w:val="auto"/>
              </w:rPr>
            </w:pPr>
            <w:r>
              <w:rPr>
                <w:b/>
                <w:bCs/>
                <w:color w:val="auto"/>
              </w:rPr>
              <w:t>Mã hóa</w:t>
            </w:r>
          </w:p>
        </w:tc>
        <w:tc>
          <w:tcPr>
            <w:tcW w:w="5591"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firstLine="0"/>
              <w:jc w:val="center"/>
              <w:rPr>
                <w:b/>
                <w:bCs/>
                <w:color w:val="auto"/>
              </w:rPr>
            </w:pPr>
            <w:r>
              <w:rPr>
                <w:b/>
                <w:bCs/>
                <w:color w:val="auto"/>
              </w:rPr>
              <w:t>Nội dung phát biểu</w:t>
            </w:r>
          </w:p>
        </w:tc>
        <w:tc>
          <w:tcPr>
            <w:tcW w:w="2084"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firstLine="0"/>
              <w:jc w:val="center"/>
              <w:rPr>
                <w:b/>
                <w:bCs/>
                <w:color w:val="auto"/>
              </w:rPr>
            </w:pPr>
            <w:r>
              <w:rPr>
                <w:b/>
                <w:bCs/>
                <w:color w:val="auto"/>
              </w:rPr>
              <w:t>Nguồn tham khảo</w:t>
            </w:r>
          </w:p>
        </w:tc>
      </w:tr>
      <w:tr w:rsidR="00764EB5" w:rsidTr="00021C6B">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CCQ1</w:t>
            </w:r>
          </w:p>
        </w:tc>
        <w:tc>
          <w:tcPr>
            <w:tcW w:w="5591"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Gia đình ủng hộ việc tôi mua căn hộ</w:t>
            </w:r>
          </w:p>
        </w:tc>
        <w:tc>
          <w:tcPr>
            <w:tcW w:w="2084" w:type="dxa"/>
            <w:vMerge w:val="restart"/>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 xml:space="preserve">Ajzen (1991); Levy et al. (2008); Pham </w:t>
            </w:r>
            <w:r>
              <w:rPr>
                <w:color w:val="auto"/>
              </w:rPr>
              <w:lastRenderedPageBreak/>
              <w:t>Dinh et al. (2022)</w:t>
            </w:r>
          </w:p>
        </w:tc>
      </w:tr>
      <w:tr w:rsidR="00764EB5" w:rsidTr="00021C6B">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CCQ2</w:t>
            </w:r>
          </w:p>
        </w:tc>
        <w:tc>
          <w:tcPr>
            <w:tcW w:w="5591"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Bạn bè khuyến khích tôi mua</w:t>
            </w:r>
          </w:p>
        </w:tc>
        <w:tc>
          <w:tcPr>
            <w:tcW w:w="2084" w:type="dxa"/>
            <w:vMerge/>
            <w:tcBorders>
              <w:top w:val="single" w:sz="4" w:space="0" w:color="000000"/>
              <w:left w:val="single" w:sz="4" w:space="0" w:color="000000"/>
              <w:bottom w:val="single" w:sz="4" w:space="0" w:color="000000"/>
              <w:right w:val="single" w:sz="4" w:space="0" w:color="000000"/>
            </w:tcBorders>
          </w:tcPr>
          <w:p w:rsidR="00764EB5" w:rsidRDefault="00764EB5" w:rsidP="003D6B28">
            <w:pPr>
              <w:ind w:firstLine="0"/>
              <w:rPr>
                <w:color w:val="auto"/>
              </w:rPr>
            </w:pPr>
          </w:p>
        </w:tc>
      </w:tr>
      <w:tr w:rsidR="00764EB5" w:rsidTr="00021C6B">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CCQ3</w:t>
            </w:r>
          </w:p>
        </w:tc>
        <w:tc>
          <w:tcPr>
            <w:tcW w:w="5591"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Người quan trọng ảnh hưởng đến quyết định của tôi</w:t>
            </w:r>
          </w:p>
        </w:tc>
        <w:tc>
          <w:tcPr>
            <w:tcW w:w="2084" w:type="dxa"/>
            <w:vMerge/>
            <w:tcBorders>
              <w:top w:val="single" w:sz="4" w:space="0" w:color="000000"/>
              <w:left w:val="single" w:sz="4" w:space="0" w:color="000000"/>
              <w:bottom w:val="single" w:sz="4" w:space="0" w:color="000000"/>
              <w:right w:val="single" w:sz="4" w:space="0" w:color="000000"/>
            </w:tcBorders>
          </w:tcPr>
          <w:p w:rsidR="00764EB5" w:rsidRDefault="00764EB5" w:rsidP="003D6B28">
            <w:pPr>
              <w:ind w:firstLine="0"/>
              <w:rPr>
                <w:color w:val="auto"/>
              </w:rPr>
            </w:pPr>
          </w:p>
        </w:tc>
      </w:tr>
      <w:tr w:rsidR="00764EB5" w:rsidTr="00021C6B">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lastRenderedPageBreak/>
              <w:t>CCQ4</w:t>
            </w:r>
          </w:p>
        </w:tc>
        <w:tc>
          <w:tcPr>
            <w:tcW w:w="5591"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Tôi quan tâm đến ý kiến người thân</w:t>
            </w:r>
          </w:p>
        </w:tc>
        <w:tc>
          <w:tcPr>
            <w:tcW w:w="2084" w:type="dxa"/>
            <w:vMerge/>
            <w:tcBorders>
              <w:top w:val="single" w:sz="4" w:space="0" w:color="000000"/>
              <w:left w:val="single" w:sz="4" w:space="0" w:color="000000"/>
              <w:bottom w:val="single" w:sz="4" w:space="0" w:color="000000"/>
              <w:right w:val="single" w:sz="4" w:space="0" w:color="000000"/>
            </w:tcBorders>
          </w:tcPr>
          <w:p w:rsidR="00764EB5" w:rsidRDefault="00764EB5" w:rsidP="003D6B28">
            <w:pPr>
              <w:ind w:firstLine="0"/>
              <w:rPr>
                <w:color w:val="auto"/>
              </w:rPr>
            </w:pPr>
          </w:p>
        </w:tc>
      </w:tr>
      <w:tr w:rsidR="00764EB5" w:rsidTr="00021C6B">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lastRenderedPageBreak/>
              <w:t>CCQ5</w:t>
            </w:r>
          </w:p>
        </w:tc>
        <w:tc>
          <w:tcPr>
            <w:tcW w:w="5591"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Xu hướng xã hội ảnh hưởng đến tôi</w:t>
            </w:r>
          </w:p>
        </w:tc>
        <w:tc>
          <w:tcPr>
            <w:tcW w:w="2084" w:type="dxa"/>
            <w:vMerge/>
            <w:tcBorders>
              <w:top w:val="single" w:sz="4" w:space="0" w:color="000000"/>
              <w:left w:val="single" w:sz="4" w:space="0" w:color="000000"/>
              <w:bottom w:val="single" w:sz="4" w:space="0" w:color="000000"/>
              <w:right w:val="single" w:sz="4" w:space="0" w:color="000000"/>
            </w:tcBorders>
          </w:tcPr>
          <w:p w:rsidR="00764EB5" w:rsidRDefault="00764EB5" w:rsidP="003D6B28">
            <w:pPr>
              <w:ind w:firstLine="0"/>
              <w:rPr>
                <w:color w:val="auto"/>
              </w:rPr>
            </w:pPr>
          </w:p>
        </w:tc>
      </w:tr>
      <w:tr w:rsidR="00764EB5" w:rsidTr="00021C6B">
        <w:tc>
          <w:tcPr>
            <w:tcW w:w="1208"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CCQ6</w:t>
            </w:r>
          </w:p>
        </w:tc>
        <w:tc>
          <w:tcPr>
            <w:tcW w:w="5591"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Tôi tham khảo ý kiến trước khi mua</w:t>
            </w:r>
          </w:p>
        </w:tc>
        <w:tc>
          <w:tcPr>
            <w:tcW w:w="2084" w:type="dxa"/>
            <w:vMerge/>
            <w:tcBorders>
              <w:top w:val="single" w:sz="4" w:space="0" w:color="000000"/>
              <w:left w:val="single" w:sz="4" w:space="0" w:color="000000"/>
              <w:bottom w:val="single" w:sz="4" w:space="0" w:color="000000"/>
              <w:right w:val="single" w:sz="4" w:space="0" w:color="000000"/>
            </w:tcBorders>
          </w:tcPr>
          <w:p w:rsidR="00764EB5" w:rsidRDefault="00764EB5" w:rsidP="003D6B28">
            <w:pPr>
              <w:ind w:firstLine="0"/>
              <w:rPr>
                <w:color w:val="auto"/>
              </w:rPr>
            </w:pPr>
          </w:p>
        </w:tc>
      </w:tr>
    </w:tbl>
    <w:p w:rsidR="00764EB5" w:rsidRDefault="00DF13CC" w:rsidP="003D6B28">
      <w:pPr>
        <w:jc w:val="right"/>
        <w:rPr>
          <w:i/>
          <w:iCs/>
          <w:color w:val="auto"/>
        </w:rPr>
      </w:pPr>
      <w:r>
        <w:rPr>
          <w:i/>
          <w:iCs/>
          <w:color w:val="auto"/>
        </w:rPr>
        <w:t>(Nguồn: Tác giả tổng hợp từ nhiều nguồn)</w:t>
      </w:r>
    </w:p>
    <w:p w:rsidR="00764EB5" w:rsidRDefault="00DF13CC" w:rsidP="003D6B28">
      <w:pPr>
        <w:rPr>
          <w:b/>
          <w:bCs/>
          <w:color w:val="auto"/>
        </w:rPr>
      </w:pPr>
      <w:r>
        <w:rPr>
          <w:b/>
          <w:bCs/>
          <w:color w:val="auto"/>
        </w:rPr>
        <w:t>(3) Thang đo Nhận thức kiểm soát hành vi (NTHV)</w:t>
      </w:r>
    </w:p>
    <w:p w:rsidR="00764EB5" w:rsidRDefault="00DF13CC" w:rsidP="003D6B28">
      <w:pPr>
        <w:rPr>
          <w:color w:val="auto"/>
        </w:rPr>
      </w:pPr>
      <w:r>
        <w:rPr>
          <w:color w:val="auto"/>
        </w:rPr>
        <w:t>Thang đo phản ánh khả năng thực hiện hành vi mua.</w:t>
      </w:r>
    </w:p>
    <w:p w:rsidR="00764EB5" w:rsidRDefault="00DF13CC" w:rsidP="00BF5505">
      <w:pPr>
        <w:pStyle w:val="DMB"/>
        <w:outlineLvl w:val="0"/>
      </w:pPr>
      <w:bookmarkStart w:id="366" w:name="__RefHeading___Toc7821_1147916741"/>
      <w:bookmarkStart w:id="367" w:name="_Toc238482018"/>
      <w:bookmarkStart w:id="368" w:name="_Toc226534658"/>
      <w:bookmarkStart w:id="369" w:name="_Toc241065532"/>
      <w:bookmarkEnd w:id="366"/>
      <w:r>
        <w:t>Bảng 3.</w:t>
      </w:r>
      <w:r w:rsidR="002E378C">
        <w:fldChar w:fldCharType="begin"/>
      </w:r>
      <w:r w:rsidR="002E378C">
        <w:instrText xml:space="preserve"> SEQ Bảng_3. \* ARABIC </w:instrText>
      </w:r>
      <w:r w:rsidR="002E378C">
        <w:fldChar w:fldCharType="separate"/>
      </w:r>
      <w:r w:rsidR="00783A1B">
        <w:rPr>
          <w:noProof/>
        </w:rPr>
        <w:t>3</w:t>
      </w:r>
      <w:r w:rsidR="002E378C">
        <w:rPr>
          <w:noProof/>
        </w:rPr>
        <w:fldChar w:fldCharType="end"/>
      </w:r>
      <w:r>
        <w:t>. Thang đo Nhận thức kiểm soát hành vi (NTHV)</w:t>
      </w:r>
      <w:bookmarkEnd w:id="367"/>
      <w:bookmarkEnd w:id="368"/>
      <w:bookmarkEnd w:id="369"/>
    </w:p>
    <w:tbl>
      <w:tblPr>
        <w:tblW w:w="5000" w:type="pct"/>
        <w:tblLayout w:type="fixed"/>
        <w:tblLook w:val="04A0" w:firstRow="1" w:lastRow="0" w:firstColumn="1" w:lastColumn="0" w:noHBand="0" w:noVBand="1"/>
      </w:tblPr>
      <w:tblGrid>
        <w:gridCol w:w="1156"/>
        <w:gridCol w:w="4463"/>
        <w:gridCol w:w="3384"/>
      </w:tblGrid>
      <w:tr w:rsidR="00764EB5">
        <w:tc>
          <w:tcPr>
            <w:tcW w:w="1135"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firstLine="0"/>
              <w:jc w:val="center"/>
              <w:rPr>
                <w:b/>
                <w:bCs/>
                <w:color w:val="auto"/>
              </w:rPr>
            </w:pPr>
            <w:r>
              <w:rPr>
                <w:b/>
                <w:bCs/>
                <w:color w:val="auto"/>
              </w:rPr>
              <w:t>Mã hóa</w:t>
            </w:r>
          </w:p>
        </w:tc>
        <w:tc>
          <w:tcPr>
            <w:tcW w:w="4385"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firstLine="0"/>
              <w:jc w:val="center"/>
              <w:rPr>
                <w:b/>
                <w:bCs/>
                <w:color w:val="auto"/>
              </w:rPr>
            </w:pPr>
            <w:r>
              <w:rPr>
                <w:b/>
                <w:bCs/>
                <w:color w:val="auto"/>
              </w:rPr>
              <w:t>Nội dung phát biểu</w:t>
            </w:r>
          </w:p>
        </w:tc>
        <w:tc>
          <w:tcPr>
            <w:tcW w:w="3325" w:type="dxa"/>
            <w:tcBorders>
              <w:top w:val="single" w:sz="4" w:space="0" w:color="000000"/>
              <w:left w:val="single" w:sz="4" w:space="0" w:color="000000"/>
              <w:bottom w:val="single" w:sz="4" w:space="0" w:color="000000"/>
              <w:right w:val="single" w:sz="4" w:space="0" w:color="000000"/>
            </w:tcBorders>
            <w:vAlign w:val="center"/>
          </w:tcPr>
          <w:p w:rsidR="00764EB5" w:rsidRDefault="00DF13CC" w:rsidP="003D6B28">
            <w:pPr>
              <w:ind w:firstLine="0"/>
              <w:jc w:val="center"/>
              <w:rPr>
                <w:b/>
                <w:bCs/>
                <w:color w:val="auto"/>
              </w:rPr>
            </w:pPr>
            <w:r>
              <w:rPr>
                <w:b/>
                <w:bCs/>
                <w:color w:val="auto"/>
              </w:rPr>
              <w:t>Nguồn tham khảo</w:t>
            </w:r>
          </w:p>
        </w:tc>
      </w:tr>
      <w:tr w:rsidR="00764EB5">
        <w:tc>
          <w:tcPr>
            <w:tcW w:w="1135"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NTHV1</w:t>
            </w:r>
          </w:p>
        </w:tc>
        <w:tc>
          <w:tcPr>
            <w:tcW w:w="4385"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Tôi đủ khả năng tài chính</w:t>
            </w:r>
          </w:p>
        </w:tc>
        <w:tc>
          <w:tcPr>
            <w:tcW w:w="3325" w:type="dxa"/>
            <w:vMerge w:val="restart"/>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lang w:val="fr-FR"/>
              </w:rPr>
              <w:t xml:space="preserve">Ajzen (1991); Islam et al. (2022); Trần Xuân Lượng (2021); Pham Dinh et al. </w:t>
            </w:r>
            <w:r>
              <w:rPr>
                <w:color w:val="auto"/>
              </w:rPr>
              <w:t>(2022)</w:t>
            </w:r>
          </w:p>
        </w:tc>
      </w:tr>
      <w:tr w:rsidR="00764EB5">
        <w:tc>
          <w:tcPr>
            <w:tcW w:w="1135"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NTHV2</w:t>
            </w:r>
          </w:p>
        </w:tc>
        <w:tc>
          <w:tcPr>
            <w:tcW w:w="4385"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Tôi dễ tiếp cận thông tin mua</w:t>
            </w:r>
          </w:p>
        </w:tc>
        <w:tc>
          <w:tcPr>
            <w:tcW w:w="3325" w:type="dxa"/>
            <w:vMerge/>
            <w:tcBorders>
              <w:top w:val="single" w:sz="4" w:space="0" w:color="000000"/>
              <w:left w:val="single" w:sz="4" w:space="0" w:color="000000"/>
              <w:bottom w:val="single" w:sz="4" w:space="0" w:color="000000"/>
              <w:right w:val="single" w:sz="4" w:space="0" w:color="000000"/>
            </w:tcBorders>
          </w:tcPr>
          <w:p w:rsidR="00764EB5" w:rsidRDefault="00764EB5" w:rsidP="003D6B28">
            <w:pPr>
              <w:ind w:firstLine="0"/>
              <w:rPr>
                <w:color w:val="auto"/>
              </w:rPr>
            </w:pPr>
          </w:p>
        </w:tc>
      </w:tr>
      <w:tr w:rsidR="00764EB5">
        <w:tc>
          <w:tcPr>
            <w:tcW w:w="1135"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NTHV3</w:t>
            </w:r>
          </w:p>
        </w:tc>
        <w:tc>
          <w:tcPr>
            <w:tcW w:w="4385"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Tôi kiểm soát được việc mua căn hộ</w:t>
            </w:r>
          </w:p>
        </w:tc>
        <w:tc>
          <w:tcPr>
            <w:tcW w:w="3325" w:type="dxa"/>
            <w:vMerge/>
            <w:tcBorders>
              <w:top w:val="single" w:sz="4" w:space="0" w:color="000000"/>
              <w:left w:val="single" w:sz="4" w:space="0" w:color="000000"/>
              <w:bottom w:val="single" w:sz="4" w:space="0" w:color="000000"/>
              <w:right w:val="single" w:sz="4" w:space="0" w:color="000000"/>
            </w:tcBorders>
          </w:tcPr>
          <w:p w:rsidR="00764EB5" w:rsidRDefault="00764EB5" w:rsidP="003D6B28">
            <w:pPr>
              <w:ind w:firstLine="0"/>
              <w:rPr>
                <w:color w:val="auto"/>
              </w:rPr>
            </w:pPr>
          </w:p>
        </w:tc>
      </w:tr>
    </w:tbl>
    <w:p w:rsidR="00764EB5" w:rsidRDefault="00DF13CC" w:rsidP="003D6B28">
      <w:pPr>
        <w:jc w:val="right"/>
        <w:rPr>
          <w:i/>
          <w:iCs/>
          <w:color w:val="auto"/>
        </w:rPr>
      </w:pPr>
      <w:r>
        <w:rPr>
          <w:i/>
          <w:iCs/>
          <w:color w:val="auto"/>
        </w:rPr>
        <w:t>(Nguồn: Tác giả tổng hợp từ nhiều nguồn)</w:t>
      </w:r>
    </w:p>
    <w:p w:rsidR="00764EB5" w:rsidRDefault="00DF13CC" w:rsidP="003D6B28">
      <w:pPr>
        <w:rPr>
          <w:b/>
          <w:bCs/>
          <w:color w:val="auto"/>
        </w:rPr>
      </w:pPr>
      <w:r>
        <w:rPr>
          <w:b/>
          <w:bCs/>
          <w:color w:val="auto"/>
        </w:rPr>
        <w:t>(4) Thang đo Giá trị cảm nhận căn hộ (GTCN)</w:t>
      </w:r>
    </w:p>
    <w:p w:rsidR="00764EB5" w:rsidRDefault="00DF13CC" w:rsidP="003D6B28">
      <w:pPr>
        <w:rPr>
          <w:color w:val="auto"/>
        </w:rPr>
      </w:pPr>
      <w:r>
        <w:rPr>
          <w:color w:val="auto"/>
        </w:rPr>
        <w:t>Thang đo phản ánh đánh giá tổng thể về lợi ích căn hộ.</w:t>
      </w:r>
    </w:p>
    <w:p w:rsidR="00296D82" w:rsidRPr="00296D82" w:rsidRDefault="00296D82" w:rsidP="003D6B28">
      <w:pPr>
        <w:pStyle w:val="DMB"/>
        <w:rPr>
          <w:sz w:val="12"/>
        </w:rPr>
      </w:pPr>
      <w:bookmarkStart w:id="370" w:name="__RefHeading___Toc7819_1147916741"/>
      <w:bookmarkStart w:id="371" w:name="_Toc238482019"/>
      <w:bookmarkStart w:id="372" w:name="_Toc226534659"/>
      <w:bookmarkEnd w:id="370"/>
    </w:p>
    <w:p w:rsidR="00764EB5" w:rsidRDefault="00DF13CC" w:rsidP="00BF5505">
      <w:pPr>
        <w:pStyle w:val="DMB"/>
        <w:outlineLvl w:val="0"/>
      </w:pPr>
      <w:bookmarkStart w:id="373" w:name="_Toc241065533"/>
      <w:r>
        <w:t>Bảng 3.</w:t>
      </w:r>
      <w:r w:rsidR="002E378C">
        <w:fldChar w:fldCharType="begin"/>
      </w:r>
      <w:r w:rsidR="002E378C">
        <w:instrText xml:space="preserve"> SEQ Bảng_3. \* ARABIC </w:instrText>
      </w:r>
      <w:r w:rsidR="002E378C">
        <w:fldChar w:fldCharType="separate"/>
      </w:r>
      <w:r w:rsidR="00783A1B">
        <w:rPr>
          <w:noProof/>
        </w:rPr>
        <w:t>4</w:t>
      </w:r>
      <w:r w:rsidR="002E378C">
        <w:rPr>
          <w:noProof/>
        </w:rPr>
        <w:fldChar w:fldCharType="end"/>
      </w:r>
      <w:r>
        <w:t>. Thang đo Giá trị cảm nhận căn hộ (GTCN)</w:t>
      </w:r>
      <w:bookmarkEnd w:id="371"/>
      <w:bookmarkEnd w:id="372"/>
      <w:bookmarkEnd w:id="373"/>
    </w:p>
    <w:tbl>
      <w:tblPr>
        <w:tblW w:w="5000" w:type="pct"/>
        <w:tblLayout w:type="fixed"/>
        <w:tblLook w:val="04A0" w:firstRow="1" w:lastRow="0" w:firstColumn="1" w:lastColumn="0" w:noHBand="0" w:noVBand="1"/>
      </w:tblPr>
      <w:tblGrid>
        <w:gridCol w:w="1235"/>
        <w:gridCol w:w="5210"/>
        <w:gridCol w:w="2558"/>
      </w:tblGrid>
      <w:tr w:rsidR="00764EB5">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jc w:val="center"/>
              <w:rPr>
                <w:b/>
                <w:bCs/>
                <w:color w:val="auto"/>
              </w:rPr>
            </w:pPr>
            <w:r>
              <w:rPr>
                <w:b/>
                <w:bCs/>
                <w:color w:val="auto"/>
              </w:rPr>
              <w:t>Mã hóa</w:t>
            </w:r>
          </w:p>
        </w:tc>
        <w:tc>
          <w:tcPr>
            <w:tcW w:w="5245"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jc w:val="center"/>
              <w:rPr>
                <w:b/>
                <w:bCs/>
                <w:color w:val="auto"/>
              </w:rPr>
            </w:pPr>
            <w:r>
              <w:rPr>
                <w:b/>
                <w:bCs/>
                <w:color w:val="auto"/>
              </w:rPr>
              <w:t>Nội dung phát biểu</w:t>
            </w:r>
          </w:p>
        </w:tc>
        <w:tc>
          <w:tcPr>
            <w:tcW w:w="2574"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jc w:val="center"/>
              <w:rPr>
                <w:b/>
                <w:bCs/>
                <w:color w:val="auto"/>
              </w:rPr>
            </w:pPr>
            <w:r>
              <w:rPr>
                <w:b/>
                <w:bCs/>
                <w:color w:val="auto"/>
              </w:rPr>
              <w:t>Nguồn tham khảo</w:t>
            </w:r>
          </w:p>
        </w:tc>
      </w:tr>
      <w:tr w:rsidR="00764EB5">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GTCN1</w:t>
            </w:r>
          </w:p>
        </w:tc>
        <w:tc>
          <w:tcPr>
            <w:tcW w:w="5245"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Vị trí căn hộ thuận tiện</w:t>
            </w:r>
          </w:p>
        </w:tc>
        <w:tc>
          <w:tcPr>
            <w:tcW w:w="2574" w:type="dxa"/>
            <w:vMerge w:val="restart"/>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Zeithaml (1988); Sweeney and Soutar (2001); Tan and Goh (2018); Pham Dinh et al. (2022)</w:t>
            </w:r>
          </w:p>
        </w:tc>
      </w:tr>
      <w:tr w:rsidR="00764EB5">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GTCN2</w:t>
            </w:r>
          </w:p>
        </w:tc>
        <w:tc>
          <w:tcPr>
            <w:tcW w:w="5245"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Pháp lý rõ ràng là yếu tố quan trọng</w:t>
            </w:r>
          </w:p>
        </w:tc>
        <w:tc>
          <w:tcPr>
            <w:tcW w:w="2574" w:type="dxa"/>
            <w:vMerge/>
            <w:tcBorders>
              <w:top w:val="single" w:sz="4" w:space="0" w:color="000000"/>
              <w:left w:val="single" w:sz="4" w:space="0" w:color="000000"/>
              <w:bottom w:val="single" w:sz="4" w:space="0" w:color="000000"/>
              <w:right w:val="single" w:sz="4" w:space="0" w:color="000000"/>
            </w:tcBorders>
          </w:tcPr>
          <w:p w:rsidR="00764EB5" w:rsidRDefault="00764EB5" w:rsidP="003D6B28">
            <w:pPr>
              <w:ind w:firstLine="0"/>
              <w:rPr>
                <w:color w:val="auto"/>
              </w:rPr>
            </w:pPr>
          </w:p>
        </w:tc>
      </w:tr>
      <w:tr w:rsidR="00764EB5">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GTCN3</w:t>
            </w:r>
          </w:p>
        </w:tc>
        <w:tc>
          <w:tcPr>
            <w:tcW w:w="5245"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Uy tín chủ đầu tư ảnh hưởng lớn</w:t>
            </w:r>
          </w:p>
        </w:tc>
        <w:tc>
          <w:tcPr>
            <w:tcW w:w="2574" w:type="dxa"/>
            <w:vMerge/>
            <w:tcBorders>
              <w:top w:val="single" w:sz="4" w:space="0" w:color="000000"/>
              <w:left w:val="single" w:sz="4" w:space="0" w:color="000000"/>
              <w:bottom w:val="single" w:sz="4" w:space="0" w:color="000000"/>
              <w:right w:val="single" w:sz="4" w:space="0" w:color="000000"/>
            </w:tcBorders>
          </w:tcPr>
          <w:p w:rsidR="00764EB5" w:rsidRDefault="00764EB5" w:rsidP="003D6B28">
            <w:pPr>
              <w:ind w:firstLine="0"/>
              <w:rPr>
                <w:color w:val="auto"/>
              </w:rPr>
            </w:pPr>
          </w:p>
        </w:tc>
      </w:tr>
      <w:tr w:rsidR="00764EB5">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GTCN4</w:t>
            </w:r>
          </w:p>
        </w:tc>
        <w:tc>
          <w:tcPr>
            <w:tcW w:w="5245"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Phong thủy phù hợp làm tăng giá trị căn hộ</w:t>
            </w:r>
          </w:p>
        </w:tc>
        <w:tc>
          <w:tcPr>
            <w:tcW w:w="2574" w:type="dxa"/>
            <w:vMerge/>
            <w:tcBorders>
              <w:top w:val="single" w:sz="4" w:space="0" w:color="000000"/>
              <w:left w:val="single" w:sz="4" w:space="0" w:color="000000"/>
              <w:bottom w:val="single" w:sz="4" w:space="0" w:color="000000"/>
              <w:right w:val="single" w:sz="4" w:space="0" w:color="000000"/>
            </w:tcBorders>
          </w:tcPr>
          <w:p w:rsidR="00764EB5" w:rsidRDefault="00764EB5" w:rsidP="003D6B28">
            <w:pPr>
              <w:ind w:firstLine="0"/>
              <w:rPr>
                <w:color w:val="auto"/>
              </w:rPr>
            </w:pPr>
          </w:p>
        </w:tc>
      </w:tr>
      <w:tr w:rsidR="00764EB5">
        <w:tc>
          <w:tcPr>
            <w:tcW w:w="1242"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GTCN5</w:t>
            </w:r>
          </w:p>
        </w:tc>
        <w:tc>
          <w:tcPr>
            <w:tcW w:w="5245" w:type="dxa"/>
            <w:tcBorders>
              <w:top w:val="single" w:sz="4" w:space="0" w:color="000000"/>
              <w:left w:val="single" w:sz="4" w:space="0" w:color="000000"/>
              <w:bottom w:val="single" w:sz="4" w:space="0" w:color="000000"/>
              <w:right w:val="single" w:sz="4" w:space="0" w:color="000000"/>
            </w:tcBorders>
          </w:tcPr>
          <w:p w:rsidR="00764EB5" w:rsidRDefault="00DF13CC" w:rsidP="003D6B28">
            <w:pPr>
              <w:ind w:firstLine="0"/>
              <w:rPr>
                <w:color w:val="auto"/>
              </w:rPr>
            </w:pPr>
            <w:r>
              <w:rPr>
                <w:color w:val="auto"/>
              </w:rPr>
              <w:t>Tổng thể các yếu tố làm tôi đánh giá cao căn hộ</w:t>
            </w:r>
          </w:p>
        </w:tc>
        <w:tc>
          <w:tcPr>
            <w:tcW w:w="2574" w:type="dxa"/>
            <w:vMerge/>
            <w:tcBorders>
              <w:top w:val="single" w:sz="4" w:space="0" w:color="000000"/>
              <w:left w:val="single" w:sz="4" w:space="0" w:color="000000"/>
              <w:bottom w:val="single" w:sz="4" w:space="0" w:color="000000"/>
              <w:right w:val="single" w:sz="4" w:space="0" w:color="000000"/>
            </w:tcBorders>
          </w:tcPr>
          <w:p w:rsidR="00764EB5" w:rsidRDefault="00764EB5" w:rsidP="003D6B28">
            <w:pPr>
              <w:ind w:firstLine="0"/>
              <w:rPr>
                <w:color w:val="auto"/>
              </w:rPr>
            </w:pPr>
          </w:p>
        </w:tc>
      </w:tr>
    </w:tbl>
    <w:p w:rsidR="00764EB5" w:rsidRDefault="00DF13CC" w:rsidP="003D6B28">
      <w:pPr>
        <w:jc w:val="right"/>
        <w:rPr>
          <w:i/>
          <w:iCs/>
          <w:color w:val="auto"/>
        </w:rPr>
      </w:pPr>
      <w:r>
        <w:rPr>
          <w:i/>
          <w:iCs/>
          <w:color w:val="auto"/>
        </w:rPr>
        <w:t>(Nguồn: Tác giả tổng hợp từ nhiều nguồn)</w:t>
      </w:r>
    </w:p>
    <w:p w:rsidR="00021C6B" w:rsidRPr="00021C6B" w:rsidRDefault="00021C6B" w:rsidP="003D6B28">
      <w:pPr>
        <w:jc w:val="right"/>
        <w:rPr>
          <w:i/>
          <w:iCs/>
          <w:color w:val="auto"/>
          <w:sz w:val="14"/>
        </w:rPr>
      </w:pPr>
    </w:p>
    <w:p w:rsidR="00764EB5" w:rsidRDefault="00DF13CC" w:rsidP="003D6B28">
      <w:pPr>
        <w:rPr>
          <w:b/>
          <w:bCs/>
          <w:color w:val="auto"/>
        </w:rPr>
      </w:pPr>
      <w:r>
        <w:rPr>
          <w:b/>
          <w:bCs/>
          <w:color w:val="auto"/>
        </w:rPr>
        <w:t>(5) Thang đo Ý định mua (YDM)</w:t>
      </w:r>
    </w:p>
    <w:p w:rsidR="00764EB5" w:rsidRDefault="00DF13CC" w:rsidP="00BF5505">
      <w:pPr>
        <w:pStyle w:val="DMB"/>
        <w:outlineLvl w:val="0"/>
      </w:pPr>
      <w:bookmarkStart w:id="374" w:name="__RefHeading___Toc7817_1147916741"/>
      <w:bookmarkStart w:id="375" w:name="_Toc226534660"/>
      <w:bookmarkStart w:id="376" w:name="_Toc238482020"/>
      <w:bookmarkStart w:id="377" w:name="_Toc241065534"/>
      <w:bookmarkEnd w:id="374"/>
      <w:r>
        <w:t>Bảng 3.</w:t>
      </w:r>
      <w:r w:rsidR="002E378C">
        <w:fldChar w:fldCharType="begin"/>
      </w:r>
      <w:r w:rsidR="002E378C">
        <w:instrText xml:space="preserve"> SEQ Bảng_3. \* ARABIC </w:instrText>
      </w:r>
      <w:r w:rsidR="002E378C">
        <w:fldChar w:fldCharType="separate"/>
      </w:r>
      <w:r w:rsidR="00783A1B">
        <w:rPr>
          <w:noProof/>
        </w:rPr>
        <w:t>5</w:t>
      </w:r>
      <w:r w:rsidR="002E378C">
        <w:rPr>
          <w:noProof/>
        </w:rPr>
        <w:fldChar w:fldCharType="end"/>
      </w:r>
      <w:r>
        <w:t>. Thang đo Ý định mua (YDM)</w:t>
      </w:r>
      <w:bookmarkEnd w:id="375"/>
      <w:bookmarkEnd w:id="376"/>
      <w:bookmarkEnd w:id="377"/>
    </w:p>
    <w:tbl>
      <w:tblPr>
        <w:tblW w:w="5000" w:type="pct"/>
        <w:tblLayout w:type="fixed"/>
        <w:tblLook w:val="04A0" w:firstRow="1" w:lastRow="0" w:firstColumn="1" w:lastColumn="0" w:noHBand="0" w:noVBand="1"/>
      </w:tblPr>
      <w:tblGrid>
        <w:gridCol w:w="1197"/>
        <w:gridCol w:w="4407"/>
        <w:gridCol w:w="3399"/>
      </w:tblGrid>
      <w:tr w:rsidR="00764EB5">
        <w:tc>
          <w:tcPr>
            <w:tcW w:w="11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b/>
                <w:bCs/>
                <w:color w:val="auto"/>
              </w:rPr>
            </w:pPr>
            <w:r>
              <w:rPr>
                <w:b/>
                <w:bCs/>
                <w:color w:val="auto"/>
              </w:rPr>
              <w:t>Mã hóa</w:t>
            </w:r>
          </w:p>
        </w:tc>
        <w:tc>
          <w:tcPr>
            <w:tcW w:w="4330"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b/>
                <w:bCs/>
                <w:color w:val="auto"/>
              </w:rPr>
            </w:pPr>
            <w:r>
              <w:rPr>
                <w:b/>
                <w:bCs/>
                <w:color w:val="auto"/>
              </w:rPr>
              <w:t>Nội dung phát biểu</w:t>
            </w:r>
          </w:p>
        </w:tc>
        <w:tc>
          <w:tcPr>
            <w:tcW w:w="3339"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b/>
                <w:bCs/>
                <w:color w:val="auto"/>
              </w:rPr>
            </w:pPr>
            <w:r>
              <w:rPr>
                <w:b/>
                <w:bCs/>
                <w:color w:val="auto"/>
              </w:rPr>
              <w:t>Nguồn tham khảo</w:t>
            </w:r>
          </w:p>
        </w:tc>
      </w:tr>
      <w:tr w:rsidR="00764EB5">
        <w:tc>
          <w:tcPr>
            <w:tcW w:w="11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YDM1</w:t>
            </w:r>
          </w:p>
        </w:tc>
        <w:tc>
          <w:tcPr>
            <w:tcW w:w="4330"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Tôi có ý định mua căn hộ</w:t>
            </w:r>
          </w:p>
        </w:tc>
        <w:tc>
          <w:tcPr>
            <w:tcW w:w="3339" w:type="dxa"/>
            <w:vMerge w:val="restart"/>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lang w:val="fr-FR"/>
              </w:rPr>
              <w:t xml:space="preserve">Ajzen (1991); Islam et al. (2022); Tan &amp; Goh (2018); Pham Dinh et al. </w:t>
            </w:r>
            <w:r>
              <w:rPr>
                <w:color w:val="auto"/>
              </w:rPr>
              <w:t>(2022)</w:t>
            </w:r>
          </w:p>
        </w:tc>
      </w:tr>
      <w:tr w:rsidR="00764EB5">
        <w:tc>
          <w:tcPr>
            <w:tcW w:w="11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YDM2</w:t>
            </w:r>
          </w:p>
        </w:tc>
        <w:tc>
          <w:tcPr>
            <w:tcW w:w="4330"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Tôi đang cân nhắc nghiêm túc</w:t>
            </w:r>
          </w:p>
        </w:tc>
        <w:tc>
          <w:tcPr>
            <w:tcW w:w="3339" w:type="dxa"/>
            <w:vMerge/>
            <w:tcBorders>
              <w:top w:val="single" w:sz="4" w:space="0" w:color="000000"/>
              <w:left w:val="single" w:sz="4" w:space="0" w:color="000000"/>
              <w:bottom w:val="single" w:sz="4" w:space="0" w:color="000000"/>
              <w:right w:val="single" w:sz="4" w:space="0" w:color="000000"/>
            </w:tcBorders>
          </w:tcPr>
          <w:p w:rsidR="00764EB5" w:rsidRDefault="00764EB5" w:rsidP="00296D82">
            <w:pPr>
              <w:spacing w:line="336" w:lineRule="auto"/>
              <w:ind w:firstLine="0"/>
              <w:rPr>
                <w:color w:val="auto"/>
              </w:rPr>
            </w:pPr>
          </w:p>
        </w:tc>
      </w:tr>
      <w:tr w:rsidR="00764EB5">
        <w:tc>
          <w:tcPr>
            <w:tcW w:w="11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YDM3</w:t>
            </w:r>
          </w:p>
        </w:tc>
        <w:tc>
          <w:tcPr>
            <w:tcW w:w="4330"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Tôi sẽ tìm hiểu thêm thông tin</w:t>
            </w:r>
          </w:p>
        </w:tc>
        <w:tc>
          <w:tcPr>
            <w:tcW w:w="3339" w:type="dxa"/>
            <w:vMerge/>
            <w:tcBorders>
              <w:top w:val="single" w:sz="4" w:space="0" w:color="000000"/>
              <w:left w:val="single" w:sz="4" w:space="0" w:color="000000"/>
              <w:bottom w:val="single" w:sz="4" w:space="0" w:color="000000"/>
              <w:right w:val="single" w:sz="4" w:space="0" w:color="000000"/>
            </w:tcBorders>
          </w:tcPr>
          <w:p w:rsidR="00764EB5" w:rsidRDefault="00764EB5" w:rsidP="00296D82">
            <w:pPr>
              <w:spacing w:line="336" w:lineRule="auto"/>
              <w:ind w:firstLine="0"/>
              <w:rPr>
                <w:color w:val="auto"/>
              </w:rPr>
            </w:pPr>
          </w:p>
        </w:tc>
      </w:tr>
      <w:tr w:rsidR="00764EB5">
        <w:tc>
          <w:tcPr>
            <w:tcW w:w="11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lastRenderedPageBreak/>
              <w:t>YDM4</w:t>
            </w:r>
          </w:p>
        </w:tc>
        <w:tc>
          <w:tcPr>
            <w:tcW w:w="4330"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Tôi ưu tiên căn hộ hơn loại hình khác</w:t>
            </w:r>
          </w:p>
        </w:tc>
        <w:tc>
          <w:tcPr>
            <w:tcW w:w="3339" w:type="dxa"/>
            <w:vMerge/>
            <w:tcBorders>
              <w:top w:val="single" w:sz="4" w:space="0" w:color="000000"/>
              <w:left w:val="single" w:sz="4" w:space="0" w:color="000000"/>
              <w:bottom w:val="single" w:sz="4" w:space="0" w:color="000000"/>
              <w:right w:val="single" w:sz="4" w:space="0" w:color="000000"/>
            </w:tcBorders>
          </w:tcPr>
          <w:p w:rsidR="00764EB5" w:rsidRDefault="00764EB5" w:rsidP="00296D82">
            <w:pPr>
              <w:spacing w:line="336" w:lineRule="auto"/>
              <w:ind w:firstLine="0"/>
              <w:rPr>
                <w:color w:val="auto"/>
              </w:rPr>
            </w:pPr>
          </w:p>
        </w:tc>
      </w:tr>
      <w:tr w:rsidR="00764EB5">
        <w:tc>
          <w:tcPr>
            <w:tcW w:w="11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YDM5</w:t>
            </w:r>
          </w:p>
        </w:tc>
        <w:tc>
          <w:tcPr>
            <w:tcW w:w="4330"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Tôi có kế hoạch tài chính</w:t>
            </w:r>
          </w:p>
        </w:tc>
        <w:tc>
          <w:tcPr>
            <w:tcW w:w="3339" w:type="dxa"/>
            <w:vMerge/>
            <w:tcBorders>
              <w:top w:val="single" w:sz="4" w:space="0" w:color="000000"/>
              <w:left w:val="single" w:sz="4" w:space="0" w:color="000000"/>
              <w:bottom w:val="single" w:sz="4" w:space="0" w:color="000000"/>
              <w:right w:val="single" w:sz="4" w:space="0" w:color="000000"/>
            </w:tcBorders>
          </w:tcPr>
          <w:p w:rsidR="00764EB5" w:rsidRDefault="00764EB5" w:rsidP="00296D82">
            <w:pPr>
              <w:spacing w:line="336" w:lineRule="auto"/>
              <w:ind w:firstLine="0"/>
              <w:rPr>
                <w:color w:val="auto"/>
              </w:rPr>
            </w:pPr>
          </w:p>
        </w:tc>
      </w:tr>
      <w:tr w:rsidR="00764EB5">
        <w:tc>
          <w:tcPr>
            <w:tcW w:w="1176"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YDM6</w:t>
            </w:r>
          </w:p>
        </w:tc>
        <w:tc>
          <w:tcPr>
            <w:tcW w:w="4330"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Tôi sẽ mua khi có cơ hội</w:t>
            </w:r>
          </w:p>
        </w:tc>
        <w:tc>
          <w:tcPr>
            <w:tcW w:w="3339" w:type="dxa"/>
            <w:vMerge/>
            <w:tcBorders>
              <w:top w:val="single" w:sz="4" w:space="0" w:color="000000"/>
              <w:left w:val="single" w:sz="4" w:space="0" w:color="000000"/>
              <w:bottom w:val="single" w:sz="4" w:space="0" w:color="000000"/>
              <w:right w:val="single" w:sz="4" w:space="0" w:color="000000"/>
            </w:tcBorders>
          </w:tcPr>
          <w:p w:rsidR="00764EB5" w:rsidRDefault="00764EB5" w:rsidP="00296D82">
            <w:pPr>
              <w:spacing w:line="336" w:lineRule="auto"/>
              <w:ind w:firstLine="0"/>
              <w:rPr>
                <w:color w:val="auto"/>
              </w:rPr>
            </w:pPr>
          </w:p>
        </w:tc>
      </w:tr>
    </w:tbl>
    <w:p w:rsidR="00764EB5" w:rsidRDefault="00DF13CC" w:rsidP="003D6B28">
      <w:pPr>
        <w:jc w:val="right"/>
        <w:rPr>
          <w:i/>
          <w:iCs/>
          <w:color w:val="auto"/>
        </w:rPr>
      </w:pPr>
      <w:r>
        <w:rPr>
          <w:i/>
          <w:iCs/>
          <w:color w:val="auto"/>
        </w:rPr>
        <w:t>(Nguồn: Tác giả tổng hợp từ nhiều nguồn)</w:t>
      </w:r>
    </w:p>
    <w:p w:rsidR="00764EB5" w:rsidRDefault="00DF13CC" w:rsidP="003D6B28">
      <w:pPr>
        <w:rPr>
          <w:b/>
          <w:bCs/>
          <w:color w:val="auto"/>
        </w:rPr>
      </w:pPr>
      <w:r>
        <w:rPr>
          <w:color w:val="auto"/>
        </w:rPr>
        <w:t>(6) Thang đo Mức độ sẵn sàng ra quyết định mua (QDM)</w:t>
      </w:r>
    </w:p>
    <w:p w:rsidR="00764EB5" w:rsidRDefault="00DF13CC" w:rsidP="00BF5505">
      <w:pPr>
        <w:pStyle w:val="DMB"/>
        <w:outlineLvl w:val="0"/>
      </w:pPr>
      <w:bookmarkStart w:id="378" w:name="__RefHeading___Toc7815_1147916741"/>
      <w:bookmarkStart w:id="379" w:name="_Toc226534661"/>
      <w:bookmarkStart w:id="380" w:name="_Toc238482021"/>
      <w:bookmarkStart w:id="381" w:name="_Toc241065535"/>
      <w:bookmarkEnd w:id="378"/>
      <w:r>
        <w:t>Bảng 3.</w:t>
      </w:r>
      <w:r w:rsidR="002E378C">
        <w:fldChar w:fldCharType="begin"/>
      </w:r>
      <w:r w:rsidR="002E378C">
        <w:instrText xml:space="preserve"> SEQ Bảng_3. \* ARABIC </w:instrText>
      </w:r>
      <w:r w:rsidR="002E378C">
        <w:fldChar w:fldCharType="separate"/>
      </w:r>
      <w:r w:rsidR="00783A1B">
        <w:rPr>
          <w:noProof/>
        </w:rPr>
        <w:t>6</w:t>
      </w:r>
      <w:r w:rsidR="002E378C">
        <w:rPr>
          <w:noProof/>
        </w:rPr>
        <w:fldChar w:fldCharType="end"/>
      </w:r>
      <w:r>
        <w:t>. Thang đo Mức độ sẵn sàng ra quyết định mua (QDM)</w:t>
      </w:r>
      <w:bookmarkEnd w:id="379"/>
      <w:bookmarkEnd w:id="380"/>
      <w:bookmarkEnd w:id="381"/>
    </w:p>
    <w:tbl>
      <w:tblPr>
        <w:tblW w:w="5000" w:type="pct"/>
        <w:tblLayout w:type="fixed"/>
        <w:tblLook w:val="04A0" w:firstRow="1" w:lastRow="0" w:firstColumn="1" w:lastColumn="0" w:noHBand="0" w:noVBand="1"/>
      </w:tblPr>
      <w:tblGrid>
        <w:gridCol w:w="1234"/>
        <w:gridCol w:w="4370"/>
        <w:gridCol w:w="3399"/>
      </w:tblGrid>
      <w:tr w:rsidR="00764EB5">
        <w:tc>
          <w:tcPr>
            <w:tcW w:w="121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b/>
                <w:bCs/>
                <w:color w:val="auto"/>
              </w:rPr>
            </w:pPr>
            <w:r>
              <w:rPr>
                <w:b/>
                <w:bCs/>
                <w:color w:val="auto"/>
              </w:rPr>
              <w:t>Mã hóa</w:t>
            </w:r>
          </w:p>
        </w:tc>
        <w:tc>
          <w:tcPr>
            <w:tcW w:w="429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b/>
                <w:bCs/>
                <w:color w:val="auto"/>
              </w:rPr>
            </w:pPr>
            <w:r>
              <w:rPr>
                <w:b/>
                <w:bCs/>
                <w:color w:val="auto"/>
              </w:rPr>
              <w:t>Nội dung phát biểu</w:t>
            </w:r>
          </w:p>
        </w:tc>
        <w:tc>
          <w:tcPr>
            <w:tcW w:w="3339"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jc w:val="center"/>
              <w:rPr>
                <w:b/>
                <w:bCs/>
                <w:color w:val="auto"/>
              </w:rPr>
            </w:pPr>
            <w:r>
              <w:rPr>
                <w:b/>
                <w:bCs/>
                <w:color w:val="auto"/>
              </w:rPr>
              <w:t>Nguồn tham khảo</w:t>
            </w:r>
          </w:p>
        </w:tc>
      </w:tr>
      <w:tr w:rsidR="00764EB5">
        <w:tc>
          <w:tcPr>
            <w:tcW w:w="121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QDM1</w:t>
            </w:r>
          </w:p>
        </w:tc>
        <w:tc>
          <w:tcPr>
            <w:tcW w:w="429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Tôi đã/ sẽ quyết định mua căn hộ</w:t>
            </w:r>
          </w:p>
        </w:tc>
        <w:tc>
          <w:tcPr>
            <w:tcW w:w="3339" w:type="dxa"/>
            <w:vMerge w:val="restart"/>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lang w:val="fr-FR"/>
              </w:rPr>
              <w:t xml:space="preserve">Ajzen (1991); Kotler and Keller (2016); Islam et al. </w:t>
            </w:r>
            <w:r>
              <w:rPr>
                <w:color w:val="auto"/>
              </w:rPr>
              <w:t>(2022); Pham Dinh et al. (2022)</w:t>
            </w:r>
          </w:p>
        </w:tc>
      </w:tr>
      <w:tr w:rsidR="00764EB5">
        <w:tc>
          <w:tcPr>
            <w:tcW w:w="121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QDM2</w:t>
            </w:r>
          </w:p>
        </w:tc>
        <w:tc>
          <w:tcPr>
            <w:tcW w:w="429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Tôi sẵn sàng thực hiện thủ tục</w:t>
            </w:r>
          </w:p>
        </w:tc>
        <w:tc>
          <w:tcPr>
            <w:tcW w:w="3339" w:type="dxa"/>
            <w:vMerge/>
            <w:tcBorders>
              <w:top w:val="single" w:sz="4" w:space="0" w:color="000000"/>
              <w:left w:val="single" w:sz="4" w:space="0" w:color="000000"/>
              <w:bottom w:val="single" w:sz="4" w:space="0" w:color="000000"/>
              <w:right w:val="single" w:sz="4" w:space="0" w:color="000000"/>
            </w:tcBorders>
          </w:tcPr>
          <w:p w:rsidR="00764EB5" w:rsidRDefault="00764EB5" w:rsidP="00296D82">
            <w:pPr>
              <w:spacing w:line="336" w:lineRule="auto"/>
              <w:ind w:firstLine="0"/>
              <w:rPr>
                <w:color w:val="auto"/>
              </w:rPr>
            </w:pPr>
          </w:p>
        </w:tc>
      </w:tr>
      <w:tr w:rsidR="00764EB5">
        <w:tc>
          <w:tcPr>
            <w:tcW w:w="121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QDM3</w:t>
            </w:r>
          </w:p>
        </w:tc>
        <w:tc>
          <w:tcPr>
            <w:tcW w:w="429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Tôi đã chọn dự án cụ thể</w:t>
            </w:r>
          </w:p>
        </w:tc>
        <w:tc>
          <w:tcPr>
            <w:tcW w:w="3339" w:type="dxa"/>
            <w:vMerge/>
            <w:tcBorders>
              <w:top w:val="single" w:sz="4" w:space="0" w:color="000000"/>
              <w:left w:val="single" w:sz="4" w:space="0" w:color="000000"/>
              <w:bottom w:val="single" w:sz="4" w:space="0" w:color="000000"/>
              <w:right w:val="single" w:sz="4" w:space="0" w:color="000000"/>
            </w:tcBorders>
          </w:tcPr>
          <w:p w:rsidR="00764EB5" w:rsidRDefault="00764EB5" w:rsidP="00296D82">
            <w:pPr>
              <w:spacing w:line="336" w:lineRule="auto"/>
              <w:ind w:firstLine="0"/>
              <w:rPr>
                <w:color w:val="auto"/>
              </w:rPr>
            </w:pPr>
          </w:p>
        </w:tc>
      </w:tr>
      <w:tr w:rsidR="00764EB5">
        <w:tc>
          <w:tcPr>
            <w:tcW w:w="121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QDM4</w:t>
            </w:r>
          </w:p>
        </w:tc>
        <w:tc>
          <w:tcPr>
            <w:tcW w:w="429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Tôi sẽ tiến hành giao dịch</w:t>
            </w:r>
          </w:p>
        </w:tc>
        <w:tc>
          <w:tcPr>
            <w:tcW w:w="3339" w:type="dxa"/>
            <w:vMerge/>
            <w:tcBorders>
              <w:top w:val="single" w:sz="4" w:space="0" w:color="000000"/>
              <w:left w:val="single" w:sz="4" w:space="0" w:color="000000"/>
              <w:bottom w:val="single" w:sz="4" w:space="0" w:color="000000"/>
              <w:right w:val="single" w:sz="4" w:space="0" w:color="000000"/>
            </w:tcBorders>
          </w:tcPr>
          <w:p w:rsidR="00764EB5" w:rsidRDefault="00764EB5" w:rsidP="00296D82">
            <w:pPr>
              <w:spacing w:line="336" w:lineRule="auto"/>
              <w:ind w:firstLine="0"/>
              <w:rPr>
                <w:color w:val="auto"/>
              </w:rPr>
            </w:pPr>
          </w:p>
        </w:tc>
      </w:tr>
      <w:tr w:rsidR="00764EB5">
        <w:tc>
          <w:tcPr>
            <w:tcW w:w="121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QDM5</w:t>
            </w:r>
          </w:p>
        </w:tc>
        <w:tc>
          <w:tcPr>
            <w:tcW w:w="429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Quyết định của tôi chắc chắn</w:t>
            </w:r>
          </w:p>
        </w:tc>
        <w:tc>
          <w:tcPr>
            <w:tcW w:w="3339" w:type="dxa"/>
            <w:vMerge/>
            <w:tcBorders>
              <w:top w:val="single" w:sz="4" w:space="0" w:color="000000"/>
              <w:left w:val="single" w:sz="4" w:space="0" w:color="000000"/>
              <w:bottom w:val="single" w:sz="4" w:space="0" w:color="000000"/>
              <w:right w:val="single" w:sz="4" w:space="0" w:color="000000"/>
            </w:tcBorders>
          </w:tcPr>
          <w:p w:rsidR="00764EB5" w:rsidRDefault="00764EB5" w:rsidP="00296D82">
            <w:pPr>
              <w:spacing w:line="336" w:lineRule="auto"/>
              <w:ind w:firstLine="0"/>
              <w:rPr>
                <w:color w:val="auto"/>
              </w:rPr>
            </w:pPr>
          </w:p>
        </w:tc>
      </w:tr>
      <w:tr w:rsidR="00764EB5">
        <w:tc>
          <w:tcPr>
            <w:tcW w:w="121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QDM6</w:t>
            </w:r>
          </w:p>
        </w:tc>
        <w:tc>
          <w:tcPr>
            <w:tcW w:w="4293"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36" w:lineRule="auto"/>
              <w:ind w:firstLine="0"/>
              <w:rPr>
                <w:color w:val="auto"/>
              </w:rPr>
            </w:pPr>
            <w:r>
              <w:rPr>
                <w:color w:val="auto"/>
              </w:rPr>
              <w:t>Tôi ít thay đổi quyết định</w:t>
            </w:r>
          </w:p>
        </w:tc>
        <w:tc>
          <w:tcPr>
            <w:tcW w:w="3339" w:type="dxa"/>
            <w:vMerge/>
            <w:tcBorders>
              <w:top w:val="single" w:sz="4" w:space="0" w:color="000000"/>
              <w:left w:val="single" w:sz="4" w:space="0" w:color="000000"/>
              <w:bottom w:val="single" w:sz="4" w:space="0" w:color="000000"/>
              <w:right w:val="single" w:sz="4" w:space="0" w:color="000000"/>
            </w:tcBorders>
          </w:tcPr>
          <w:p w:rsidR="00764EB5" w:rsidRDefault="00764EB5" w:rsidP="00296D82">
            <w:pPr>
              <w:spacing w:line="336" w:lineRule="auto"/>
              <w:ind w:firstLine="0"/>
              <w:rPr>
                <w:color w:val="auto"/>
              </w:rPr>
            </w:pPr>
          </w:p>
        </w:tc>
      </w:tr>
    </w:tbl>
    <w:p w:rsidR="00764EB5" w:rsidRDefault="00DF13CC" w:rsidP="003D6B28">
      <w:pPr>
        <w:jc w:val="right"/>
        <w:rPr>
          <w:i/>
          <w:iCs/>
          <w:color w:val="auto"/>
        </w:rPr>
      </w:pPr>
      <w:r>
        <w:rPr>
          <w:i/>
          <w:iCs/>
          <w:color w:val="auto"/>
        </w:rPr>
        <w:t>(Nguồn: Tác giả tổng hợp từ nhiều nguồn)</w:t>
      </w:r>
    </w:p>
    <w:p w:rsidR="00764EB5" w:rsidRDefault="00DF13CC" w:rsidP="003D6B28">
      <w:pPr>
        <w:rPr>
          <w:color w:val="auto"/>
        </w:rPr>
      </w:pPr>
      <w:r>
        <w:rPr>
          <w:color w:val="auto"/>
        </w:rPr>
        <w:t>Trong quá trình xử lý dữ liệu, các bảng khảo sát không hợp lệ (trả lời thiếu, trả lời theo mẫu, thời gian trả lời quá ngắn) sẽ được loại bỏ nhằm đảm bảo chất lượng dữ liệu đầu vào cho các bước phân tích tiếp theo.</w:t>
      </w:r>
    </w:p>
    <w:p w:rsidR="00764EB5" w:rsidRDefault="00DF13CC" w:rsidP="007B644D">
      <w:pPr>
        <w:pStyle w:val="Heading2"/>
      </w:pPr>
      <w:bookmarkStart w:id="382" w:name="_Toc238480625"/>
      <w:bookmarkStart w:id="383" w:name="_Toc241062462"/>
      <w:bookmarkStart w:id="384" w:name="_Toc241064386"/>
      <w:bookmarkStart w:id="385" w:name="_Toc241065319"/>
      <w:bookmarkStart w:id="386" w:name="_Toc241065536"/>
      <w:r>
        <w:t>Bước 4: Xác định công cụ đo lường và mô tả thang đo</w:t>
      </w:r>
      <w:bookmarkEnd w:id="382"/>
      <w:bookmarkEnd w:id="383"/>
      <w:bookmarkEnd w:id="384"/>
      <w:bookmarkEnd w:id="385"/>
      <w:bookmarkEnd w:id="386"/>
    </w:p>
    <w:p w:rsidR="00764EB5" w:rsidRDefault="00DF13CC" w:rsidP="00021C6B">
      <w:pPr>
        <w:pStyle w:val="Heading3"/>
      </w:pPr>
      <w:bookmarkStart w:id="387" w:name="_Toc238480626"/>
      <w:bookmarkStart w:id="388" w:name="_Toc241062463"/>
      <w:bookmarkStart w:id="389" w:name="_Toc241064387"/>
      <w:bookmarkStart w:id="390" w:name="_Toc241065320"/>
      <w:bookmarkStart w:id="391" w:name="_Toc241065537"/>
      <w:r>
        <w:t>(1). Công cụ đo lường</w:t>
      </w:r>
      <w:bookmarkEnd w:id="387"/>
      <w:bookmarkEnd w:id="388"/>
      <w:bookmarkEnd w:id="389"/>
      <w:bookmarkEnd w:id="390"/>
      <w:bookmarkEnd w:id="391"/>
    </w:p>
    <w:p w:rsidR="00764EB5" w:rsidRDefault="00DF13CC" w:rsidP="003D6B28">
      <w:pPr>
        <w:rPr>
          <w:color w:val="auto"/>
        </w:rPr>
      </w:pPr>
      <w:r>
        <w:rPr>
          <w:color w:val="auto"/>
        </w:rPr>
        <w:t>Nghiên cứu sử dụng bảng hỏi cấu trúc (structured questionnaire) nhằm thu thập dữ liệu sơ cấp từ các đối tượng là khách hàng có nhu cầu hoặc đã từng tìm hiểu/mua căn hộ chung cư tại khu vực Đông Nam Bộ. Các thang đo được kế thừa có chọn lọc từ các nghiên cứu trước và điều chỉnh phù hợp với bối cảnh thị trường bất động sản tại Việt Nam, qua đó đảm bảo tính giá trị nội dung và tính phù hợp thực tiễn.</w:t>
      </w:r>
    </w:p>
    <w:p w:rsidR="00764EB5" w:rsidRPr="00296D82" w:rsidRDefault="00DF13CC" w:rsidP="003D6B28">
      <w:pPr>
        <w:rPr>
          <w:color w:val="auto"/>
          <w:spacing w:val="-4"/>
        </w:rPr>
      </w:pPr>
      <w:r w:rsidRPr="00296D82">
        <w:rPr>
          <w:color w:val="auto"/>
          <w:spacing w:val="-4"/>
        </w:rPr>
        <w:t>Tất cả các biến quan sát được đo lường bằng thang đo Likert 5 mức độ, dao động từ (1) “Hoàn toàn không đồng ý” đến (5) “Hoàn toàn đồng ý”. Thang đo này được sử dụng phổ biến trong các nghiên cứu hành vi người tiêu dùng và phù hợp với các kỹ thuật phân tích định lượng như Cronbach’s Alpha, EFA và hồi quy tuyến tính.</w:t>
      </w:r>
    </w:p>
    <w:p w:rsidR="00764EB5" w:rsidRDefault="00DF13CC" w:rsidP="003D6B28">
      <w:pPr>
        <w:rPr>
          <w:color w:val="auto"/>
        </w:rPr>
      </w:pPr>
      <w:r>
        <w:rPr>
          <w:color w:val="auto"/>
        </w:rPr>
        <w:t>Các nhóm biến trong mô hình nghiên cứu bao gồm:</w:t>
      </w:r>
    </w:p>
    <w:p w:rsidR="00764EB5" w:rsidRDefault="00DF13CC" w:rsidP="003D6B28">
      <w:pPr>
        <w:numPr>
          <w:ilvl w:val="0"/>
          <w:numId w:val="10"/>
        </w:numPr>
        <w:rPr>
          <w:color w:val="auto"/>
        </w:rPr>
      </w:pPr>
      <w:r>
        <w:rPr>
          <w:color w:val="auto"/>
        </w:rPr>
        <w:t>Thái độ (TD)</w:t>
      </w:r>
    </w:p>
    <w:p w:rsidR="00764EB5" w:rsidRDefault="00DF13CC" w:rsidP="003D6B28">
      <w:pPr>
        <w:numPr>
          <w:ilvl w:val="0"/>
          <w:numId w:val="10"/>
        </w:numPr>
        <w:rPr>
          <w:color w:val="auto"/>
        </w:rPr>
      </w:pPr>
      <w:r>
        <w:rPr>
          <w:color w:val="auto"/>
        </w:rPr>
        <w:lastRenderedPageBreak/>
        <w:t>Chuẩn chủ quan (CCQ)</w:t>
      </w:r>
    </w:p>
    <w:p w:rsidR="00764EB5" w:rsidRDefault="00DF13CC" w:rsidP="003D6B28">
      <w:pPr>
        <w:numPr>
          <w:ilvl w:val="0"/>
          <w:numId w:val="10"/>
        </w:numPr>
        <w:rPr>
          <w:color w:val="auto"/>
        </w:rPr>
      </w:pPr>
      <w:r>
        <w:rPr>
          <w:color w:val="auto"/>
        </w:rPr>
        <w:t>Nhận thức kiểm soát hành vi (NTHV)</w:t>
      </w:r>
    </w:p>
    <w:p w:rsidR="00764EB5" w:rsidRDefault="00DF13CC" w:rsidP="003D6B28">
      <w:pPr>
        <w:numPr>
          <w:ilvl w:val="0"/>
          <w:numId w:val="10"/>
        </w:numPr>
        <w:rPr>
          <w:color w:val="auto"/>
        </w:rPr>
      </w:pPr>
      <w:r>
        <w:rPr>
          <w:color w:val="auto"/>
        </w:rPr>
        <w:t>Giá trị cảm nhận căn hộ (GTCN)</w:t>
      </w:r>
    </w:p>
    <w:p w:rsidR="00764EB5" w:rsidRDefault="00DF13CC" w:rsidP="003D6B28">
      <w:pPr>
        <w:numPr>
          <w:ilvl w:val="0"/>
          <w:numId w:val="10"/>
        </w:numPr>
        <w:rPr>
          <w:color w:val="auto"/>
        </w:rPr>
      </w:pPr>
      <w:r>
        <w:rPr>
          <w:color w:val="auto"/>
        </w:rPr>
        <w:t>Ý định mua (YDM)</w:t>
      </w:r>
    </w:p>
    <w:p w:rsidR="00764EB5" w:rsidRDefault="00DF13CC" w:rsidP="003D6B28">
      <w:pPr>
        <w:numPr>
          <w:ilvl w:val="0"/>
          <w:numId w:val="10"/>
        </w:numPr>
        <w:rPr>
          <w:color w:val="auto"/>
        </w:rPr>
      </w:pPr>
      <w:r>
        <w:rPr>
          <w:color w:val="auto"/>
        </w:rPr>
        <w:t>Mức độ sẵn sàng ra quyết định mua (QDM)</w:t>
      </w:r>
    </w:p>
    <w:p w:rsidR="00764EB5" w:rsidRDefault="00DF13CC" w:rsidP="003D6B28">
      <w:pPr>
        <w:rPr>
          <w:color w:val="auto"/>
        </w:rPr>
      </w:pPr>
      <w:r>
        <w:rPr>
          <w:color w:val="auto"/>
        </w:rPr>
        <w:t>Đáng chú ý, các yếu tố đặc thù của thị trường bất động sản như pháp lý dự án, vị trí, uy tín chủ đầu tư và phong thủy đã được tích hợp vào các biến tiềm ẩn phù hợp (đặc biệt trong biến GTCN và TD), giúp nâng cao khả năng giải thích của mô hình nghiên cứu.</w:t>
      </w:r>
    </w:p>
    <w:p w:rsidR="00764EB5" w:rsidRDefault="00DF13CC" w:rsidP="00021C6B">
      <w:pPr>
        <w:pStyle w:val="Heading3"/>
      </w:pPr>
      <w:bookmarkStart w:id="392" w:name="_Toc238480628"/>
      <w:bookmarkStart w:id="393" w:name="_Toc241062464"/>
      <w:bookmarkStart w:id="394" w:name="_Toc241064388"/>
      <w:bookmarkStart w:id="395" w:name="_Toc241065321"/>
      <w:bookmarkStart w:id="396" w:name="_Toc241065538"/>
      <w:r>
        <w:t>(2). Thống kê mô tả thang đo</w:t>
      </w:r>
      <w:bookmarkEnd w:id="392"/>
      <w:bookmarkEnd w:id="393"/>
      <w:bookmarkEnd w:id="394"/>
      <w:bookmarkEnd w:id="395"/>
      <w:bookmarkEnd w:id="396"/>
    </w:p>
    <w:p w:rsidR="00764EB5" w:rsidRDefault="00DF13CC" w:rsidP="00BF5505">
      <w:pPr>
        <w:pStyle w:val="DMB"/>
        <w:outlineLvl w:val="0"/>
      </w:pPr>
      <w:bookmarkStart w:id="397" w:name="__RefHeading___Toc7813_1147916741"/>
      <w:bookmarkStart w:id="398" w:name="_Toc238482022"/>
      <w:bookmarkStart w:id="399" w:name="_Toc226534662"/>
      <w:bookmarkStart w:id="400" w:name="_Toc241065539"/>
      <w:bookmarkEnd w:id="397"/>
      <w:r>
        <w:t>Bảng 3.</w:t>
      </w:r>
      <w:r w:rsidR="002E378C">
        <w:fldChar w:fldCharType="begin"/>
      </w:r>
      <w:r w:rsidR="002E378C">
        <w:instrText xml:space="preserve"> SEQ Bảng_3. \* ARABIC </w:instrText>
      </w:r>
      <w:r w:rsidR="002E378C">
        <w:fldChar w:fldCharType="separate"/>
      </w:r>
      <w:r w:rsidR="00783A1B">
        <w:rPr>
          <w:noProof/>
        </w:rPr>
        <w:t>7</w:t>
      </w:r>
      <w:r w:rsidR="002E378C">
        <w:rPr>
          <w:noProof/>
        </w:rPr>
        <w:fldChar w:fldCharType="end"/>
      </w:r>
      <w:r>
        <w:t>. Thống kê mô tả thang đo</w:t>
      </w:r>
      <w:bookmarkEnd w:id="398"/>
      <w:bookmarkEnd w:id="399"/>
      <w:bookmarkEnd w:id="400"/>
    </w:p>
    <w:tbl>
      <w:tblPr>
        <w:tblW w:w="5134" w:type="pct"/>
        <w:jc w:val="center"/>
        <w:tblLayout w:type="fixed"/>
        <w:tblCellMar>
          <w:left w:w="5" w:type="dxa"/>
          <w:right w:w="5" w:type="dxa"/>
        </w:tblCellMar>
        <w:tblLook w:val="04A0" w:firstRow="1" w:lastRow="0" w:firstColumn="1" w:lastColumn="0" w:noHBand="0" w:noVBand="1"/>
      </w:tblPr>
      <w:tblGrid>
        <w:gridCol w:w="2401"/>
        <w:gridCol w:w="1268"/>
        <w:gridCol w:w="1157"/>
        <w:gridCol w:w="1150"/>
        <w:gridCol w:w="1307"/>
        <w:gridCol w:w="1750"/>
      </w:tblGrid>
      <w:tr w:rsidR="00764EB5" w:rsidRPr="00021C6B" w:rsidTr="00296D82">
        <w:trPr>
          <w:cantSplit/>
          <w:trHeight w:val="348"/>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764EB5" w:rsidRDefault="00764EB5" w:rsidP="00296D82">
            <w:pPr>
              <w:ind w:firstLine="0"/>
              <w:rPr>
                <w:szCs w:val="26"/>
              </w:rPr>
            </w:pPr>
          </w:p>
        </w:tc>
        <w:tc>
          <w:tcPr>
            <w:tcW w:w="1268"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764EB5" w:rsidRPr="00021C6B" w:rsidRDefault="00DF13CC" w:rsidP="00296D82">
            <w:pPr>
              <w:ind w:firstLine="0"/>
              <w:jc w:val="center"/>
              <w:rPr>
                <w:szCs w:val="26"/>
              </w:rPr>
            </w:pPr>
            <w:r w:rsidRPr="00021C6B">
              <w:rPr>
                <w:szCs w:val="26"/>
              </w:rPr>
              <w:t>N</w:t>
            </w:r>
          </w:p>
        </w:tc>
        <w:tc>
          <w:tcPr>
            <w:tcW w:w="115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764EB5" w:rsidRPr="00021C6B" w:rsidRDefault="00DF13CC" w:rsidP="00296D82">
            <w:pPr>
              <w:ind w:firstLine="0"/>
              <w:jc w:val="center"/>
              <w:rPr>
                <w:szCs w:val="26"/>
              </w:rPr>
            </w:pPr>
            <w:r w:rsidRPr="00021C6B">
              <w:rPr>
                <w:szCs w:val="26"/>
              </w:rPr>
              <w:t>Minimum</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764EB5" w:rsidRPr="00021C6B" w:rsidRDefault="00DF13CC" w:rsidP="00296D82">
            <w:pPr>
              <w:ind w:firstLine="0"/>
              <w:jc w:val="center"/>
              <w:rPr>
                <w:szCs w:val="26"/>
              </w:rPr>
            </w:pPr>
            <w:r w:rsidRPr="00021C6B">
              <w:rPr>
                <w:szCs w:val="26"/>
              </w:rPr>
              <w:t>Maximum</w:t>
            </w:r>
          </w:p>
        </w:tc>
        <w:tc>
          <w:tcPr>
            <w:tcW w:w="1307"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764EB5" w:rsidRPr="00021C6B" w:rsidRDefault="00DF13CC" w:rsidP="00296D82">
            <w:pPr>
              <w:ind w:firstLine="0"/>
              <w:jc w:val="center"/>
              <w:rPr>
                <w:szCs w:val="26"/>
              </w:rPr>
            </w:pPr>
            <w:r w:rsidRPr="00021C6B">
              <w:rPr>
                <w:szCs w:val="26"/>
              </w:rPr>
              <w:t>Mean</w:t>
            </w:r>
          </w:p>
        </w:tc>
        <w:tc>
          <w:tcPr>
            <w:tcW w:w="175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764EB5" w:rsidRPr="00021C6B" w:rsidRDefault="00DF13CC" w:rsidP="00296D82">
            <w:pPr>
              <w:ind w:firstLine="0"/>
              <w:jc w:val="center"/>
              <w:rPr>
                <w:szCs w:val="26"/>
              </w:rPr>
            </w:pPr>
            <w:r w:rsidRPr="00021C6B">
              <w:rPr>
                <w:szCs w:val="26"/>
              </w:rPr>
              <w:t>Std. Deviation</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TD1</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3,54</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0,988</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TD2</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3,63</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1,062</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TD3</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3,62</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1,050</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TD4</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3,73</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0,982</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TD5</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3,55</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0,974</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CCQ1</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3,40</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0,973</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CCQ2</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3,48</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1,059</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CCQ3</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3,52</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0,994</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CCQ4</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3,64</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1,066</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CCQ5</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3,59</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0,982</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CCQ6</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3,42</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1,009</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NTHV1</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3,86</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0,794</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NTHV2</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3,92</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0,854</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NTHV3</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3,65</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0,910</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GTCN1</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3,75</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0,770</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GTCN2</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3,77</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0,802</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GTCN3</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3,92</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0,784</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GTCN4</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3,85</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0,784</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lastRenderedPageBreak/>
              <w:t>GTCN5</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3,81</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0,776</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YDM1</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3,72</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0,852</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YDM2</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3,68</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0,916</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YDM3</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3,75</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0,882</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YDM4</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3,78</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,857</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YDM5</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3,62</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,858</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YDM6</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3,73</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,871</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QDM1</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3,39</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,931</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QDM2</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3,34</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,953</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QDM3</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3,46</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,957</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QDM4</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3,62</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,926</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QDM5</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3,41</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,924</w:t>
            </w:r>
          </w:p>
        </w:tc>
      </w:tr>
      <w:tr w:rsidR="00764EB5" w:rsidRPr="00021C6B"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QDM6</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5</w:t>
            </w:r>
          </w:p>
        </w:tc>
        <w:tc>
          <w:tcPr>
            <w:tcW w:w="1307"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3,43</w:t>
            </w:r>
          </w:p>
        </w:tc>
        <w:tc>
          <w:tcPr>
            <w:tcW w:w="1750" w:type="dxa"/>
            <w:tcBorders>
              <w:top w:val="single" w:sz="4" w:space="0" w:color="000000"/>
              <w:left w:val="single" w:sz="4" w:space="0" w:color="000000"/>
              <w:bottom w:val="single" w:sz="4" w:space="0" w:color="000000"/>
              <w:right w:val="single" w:sz="4" w:space="0" w:color="000000"/>
            </w:tcBorders>
            <w:shd w:val="clear" w:color="auto" w:fill="F9F9FB"/>
          </w:tcPr>
          <w:p w:rsidR="00764EB5" w:rsidRPr="00021C6B" w:rsidRDefault="00DF13CC" w:rsidP="00296D82">
            <w:pPr>
              <w:ind w:firstLine="0"/>
              <w:jc w:val="right"/>
              <w:rPr>
                <w:szCs w:val="26"/>
              </w:rPr>
            </w:pPr>
            <w:r w:rsidRPr="00021C6B">
              <w:rPr>
                <w:szCs w:val="26"/>
              </w:rPr>
              <w:t>1,004</w:t>
            </w:r>
          </w:p>
        </w:tc>
      </w:tr>
      <w:tr w:rsidR="00764EB5" w:rsidTr="00296D82">
        <w:trPr>
          <w:cantSplit/>
          <w:jc w:val="center"/>
        </w:trPr>
        <w:tc>
          <w:tcPr>
            <w:tcW w:w="2400" w:type="dxa"/>
            <w:tcBorders>
              <w:top w:val="single" w:sz="4" w:space="0" w:color="000000"/>
              <w:left w:val="single" w:sz="4" w:space="0" w:color="000000"/>
              <w:bottom w:val="single" w:sz="4" w:space="0" w:color="000000"/>
              <w:right w:val="single" w:sz="4" w:space="0" w:color="000000"/>
            </w:tcBorders>
            <w:shd w:val="clear" w:color="auto" w:fill="E0E0E0"/>
          </w:tcPr>
          <w:p w:rsidR="00764EB5" w:rsidRPr="00021C6B" w:rsidRDefault="00DF13CC" w:rsidP="00296D82">
            <w:pPr>
              <w:ind w:firstLine="0"/>
              <w:rPr>
                <w:szCs w:val="26"/>
              </w:rPr>
            </w:pPr>
            <w:r w:rsidRPr="00021C6B">
              <w:rPr>
                <w:szCs w:val="26"/>
              </w:rPr>
              <w:t>Valid N (listwise)</w:t>
            </w:r>
          </w:p>
        </w:tc>
        <w:tc>
          <w:tcPr>
            <w:tcW w:w="1268" w:type="dxa"/>
            <w:tcBorders>
              <w:top w:val="single" w:sz="4" w:space="0" w:color="000000"/>
              <w:left w:val="single" w:sz="4" w:space="0" w:color="000000"/>
              <w:bottom w:val="single" w:sz="4" w:space="0" w:color="000000"/>
              <w:right w:val="single" w:sz="4" w:space="0" w:color="000000"/>
            </w:tcBorders>
            <w:shd w:val="clear" w:color="auto" w:fill="F9F9FB"/>
          </w:tcPr>
          <w:p w:rsidR="00764EB5" w:rsidRDefault="00DF13CC" w:rsidP="00296D82">
            <w:pPr>
              <w:ind w:firstLine="0"/>
              <w:jc w:val="right"/>
              <w:rPr>
                <w:szCs w:val="26"/>
              </w:rPr>
            </w:pPr>
            <w:r w:rsidRPr="00021C6B">
              <w:rPr>
                <w:szCs w:val="26"/>
              </w:rPr>
              <w:t>361</w:t>
            </w:r>
          </w:p>
        </w:tc>
        <w:tc>
          <w:tcPr>
            <w:tcW w:w="1157" w:type="dxa"/>
            <w:tcBorders>
              <w:top w:val="single" w:sz="4" w:space="0" w:color="000000"/>
              <w:left w:val="single" w:sz="4" w:space="0" w:color="000000"/>
              <w:bottom w:val="single" w:sz="4" w:space="0" w:color="000000"/>
              <w:right w:val="single" w:sz="4" w:space="0" w:color="000000"/>
            </w:tcBorders>
            <w:shd w:val="clear" w:color="auto" w:fill="F9F9FB"/>
            <w:vAlign w:val="center"/>
          </w:tcPr>
          <w:p w:rsidR="00764EB5" w:rsidRDefault="00764EB5" w:rsidP="00296D82">
            <w:pPr>
              <w:ind w:firstLine="0"/>
              <w:rPr>
                <w:szCs w:val="26"/>
              </w:rPr>
            </w:pPr>
          </w:p>
        </w:tc>
        <w:tc>
          <w:tcPr>
            <w:tcW w:w="1150" w:type="dxa"/>
            <w:tcBorders>
              <w:top w:val="single" w:sz="4" w:space="0" w:color="000000"/>
              <w:left w:val="single" w:sz="4" w:space="0" w:color="000000"/>
              <w:bottom w:val="single" w:sz="4" w:space="0" w:color="000000"/>
              <w:right w:val="single" w:sz="4" w:space="0" w:color="000000"/>
            </w:tcBorders>
            <w:shd w:val="clear" w:color="auto" w:fill="F9F9FB"/>
            <w:vAlign w:val="center"/>
          </w:tcPr>
          <w:p w:rsidR="00764EB5" w:rsidRDefault="00764EB5" w:rsidP="00296D82">
            <w:pPr>
              <w:ind w:firstLine="0"/>
              <w:rPr>
                <w:szCs w:val="26"/>
              </w:rPr>
            </w:pPr>
          </w:p>
        </w:tc>
        <w:tc>
          <w:tcPr>
            <w:tcW w:w="1307" w:type="dxa"/>
            <w:tcBorders>
              <w:top w:val="single" w:sz="4" w:space="0" w:color="000000"/>
              <w:left w:val="single" w:sz="4" w:space="0" w:color="000000"/>
              <w:bottom w:val="single" w:sz="4" w:space="0" w:color="000000"/>
              <w:right w:val="single" w:sz="4" w:space="0" w:color="000000"/>
            </w:tcBorders>
            <w:shd w:val="clear" w:color="auto" w:fill="F9F9FB"/>
            <w:vAlign w:val="center"/>
          </w:tcPr>
          <w:p w:rsidR="00764EB5" w:rsidRDefault="00764EB5" w:rsidP="00296D82">
            <w:pPr>
              <w:ind w:firstLine="0"/>
              <w:rPr>
                <w:szCs w:val="26"/>
              </w:rPr>
            </w:pPr>
          </w:p>
        </w:tc>
        <w:tc>
          <w:tcPr>
            <w:tcW w:w="1750" w:type="dxa"/>
            <w:tcBorders>
              <w:top w:val="single" w:sz="4" w:space="0" w:color="000000"/>
              <w:left w:val="single" w:sz="4" w:space="0" w:color="000000"/>
              <w:bottom w:val="single" w:sz="4" w:space="0" w:color="000000"/>
              <w:right w:val="single" w:sz="4" w:space="0" w:color="000000"/>
            </w:tcBorders>
            <w:shd w:val="clear" w:color="auto" w:fill="F9F9FB"/>
            <w:vAlign w:val="center"/>
          </w:tcPr>
          <w:p w:rsidR="00764EB5" w:rsidRDefault="00764EB5" w:rsidP="00296D82">
            <w:pPr>
              <w:ind w:firstLine="0"/>
              <w:rPr>
                <w:szCs w:val="26"/>
              </w:rPr>
            </w:pPr>
          </w:p>
        </w:tc>
      </w:tr>
    </w:tbl>
    <w:p w:rsidR="00764EB5" w:rsidRPr="00021C6B" w:rsidRDefault="00764EB5" w:rsidP="003D6B28">
      <w:pPr>
        <w:pStyle w:val="DMB"/>
        <w:rPr>
          <w:i w:val="0"/>
          <w:sz w:val="12"/>
          <w:szCs w:val="24"/>
        </w:rPr>
      </w:pPr>
    </w:p>
    <w:p w:rsidR="00764EB5" w:rsidRDefault="00DF13CC" w:rsidP="003D6B28">
      <w:pPr>
        <w:rPr>
          <w:color w:val="auto"/>
        </w:rPr>
      </w:pPr>
      <w:r>
        <w:rPr>
          <w:color w:val="auto"/>
        </w:rPr>
        <w:t>Kết quả thống kê mô tả cho thấy các biến quan sát chủ yếu được đánh giá ở mức trung bình đến khá. Nhóm Nhận thức kiểm soát hành vi có giá trị trung bình lần lượt khoảng 3,65; 3,86 và 3,92, phản ánh người trả lời nhìn chung đánh giá tương đối tích cực về khả năng tiếp cận thông tin và kiểm soát quá trình mua, nhưng mức độ vẫn khác nhau theo điều kiện tài chính cá nhân.</w:t>
      </w:r>
    </w:p>
    <w:p w:rsidR="00764EB5" w:rsidRDefault="00DF13CC" w:rsidP="003D6B28">
      <w:pPr>
        <w:rPr>
          <w:color w:val="auto"/>
        </w:rPr>
      </w:pPr>
      <w:r>
        <w:rPr>
          <w:color w:val="auto"/>
        </w:rPr>
        <w:t>Nhóm GTCN có giá trị trung bình khoảng 3,75-3,92 và nhóm Thái độ khoảng 3,54-3,73. Các kết quả này cho thấy người trả lời đánh giá khá tích cực đối với các thuộc tính tổng hợp của căn hộ, trong khi thái độ đối với hành vi mua có mức độ thận trọng hơn.</w:t>
      </w:r>
    </w:p>
    <w:p w:rsidR="00764EB5" w:rsidRDefault="00DF13CC" w:rsidP="003D6B28">
      <w:pPr>
        <w:rPr>
          <w:color w:val="auto"/>
        </w:rPr>
      </w:pPr>
      <w:r>
        <w:rPr>
          <w:color w:val="auto"/>
        </w:rPr>
        <w:t>Nhóm QDM có giá trị trung bình thấp hơn, khoảng 3,34-3,62. Điều này phù hợp với đặc điểm mẫu gồm nhiều người đang cân nhắc hoặc mới có nhu cầu trong tương lai: họ có thể hình thành ý định tích cực nhưng chưa đạt mức sẵn sàng cao đối với thủ tục, lựa chọn dự án hoặc giao dịch. Vì vậy, kết quả mô tả tiếp tục củng cố cách hiểu QDM là mức độ sẵn sàng ra quyết định mua, không phải hành vi mua đã hoàn tất.</w:t>
      </w:r>
    </w:p>
    <w:p w:rsidR="00764EB5" w:rsidRDefault="00DF13CC" w:rsidP="003D6B28">
      <w:pPr>
        <w:rPr>
          <w:color w:val="auto"/>
        </w:rPr>
      </w:pPr>
      <w:r>
        <w:rPr>
          <w:color w:val="auto"/>
        </w:rPr>
        <w:lastRenderedPageBreak/>
        <w:t>Độ lệch chuẩn của các biến cho thấy dữ liệu có mức phân tán đủ để tiếp tục đánh giá mô hình đo lường và mô hình cấu trúc. Các nhận định trên được rút trực tiếp từ Bảng 3.7 và không sử dụng khoảng giá trị ngoài số liệu đã báo cáo.</w:t>
      </w:r>
    </w:p>
    <w:p w:rsidR="00764EB5" w:rsidRPr="00021C6B" w:rsidRDefault="00DF13CC" w:rsidP="007B644D">
      <w:pPr>
        <w:pStyle w:val="Heading2"/>
        <w:rPr>
          <w:i/>
        </w:rPr>
      </w:pPr>
      <w:bookmarkStart w:id="401" w:name="_Toc238480629"/>
      <w:bookmarkStart w:id="402" w:name="_Toc241062465"/>
      <w:bookmarkStart w:id="403" w:name="_Toc241064389"/>
      <w:bookmarkStart w:id="404" w:name="_Toc241065322"/>
      <w:bookmarkStart w:id="405" w:name="_Toc241065540"/>
      <w:r w:rsidRPr="00021C6B">
        <w:rPr>
          <w:i/>
        </w:rPr>
        <w:t>3.2.4. Phương pháp phân tích dữ liệu</w:t>
      </w:r>
      <w:bookmarkEnd w:id="401"/>
      <w:bookmarkEnd w:id="402"/>
      <w:bookmarkEnd w:id="403"/>
      <w:bookmarkEnd w:id="404"/>
      <w:bookmarkEnd w:id="405"/>
    </w:p>
    <w:p w:rsidR="00764EB5" w:rsidRDefault="00DF13CC" w:rsidP="003D6B28">
      <w:pPr>
        <w:rPr>
          <w:color w:val="auto"/>
        </w:rPr>
      </w:pPr>
      <w:r>
        <w:rPr>
          <w:color w:val="auto"/>
        </w:rPr>
        <w:t>Dữ liệu được xử lý theo trình tự gồm làm sạch dữ liệu, thống kê mô tả, đánh giá sơ bộ thang đo và kiểm định mô hình PLS-SEM. SPSS được sử dụng cho thống kê mô tả và các kiểm tra sơ bộ; SmartPLS được sử dụng để đánh giá mô hình đo lường và mô hình cấu trúc. Luận án không coi SmartPLS là công cụ thực hiện EFA.</w:t>
      </w:r>
    </w:p>
    <w:p w:rsidR="00764EB5" w:rsidRDefault="00DF13CC" w:rsidP="003D6B28">
      <w:pPr>
        <w:rPr>
          <w:color w:val="auto"/>
        </w:rPr>
      </w:pPr>
      <w:r>
        <w:rPr>
          <w:color w:val="auto"/>
        </w:rPr>
        <w:t>Mô hình đo lường được đánh giá thông qua hệ số tải ngoài, Cronbach’s Alpha, rho_A, độ tin cậy tổng hợp, AVE, HTMT và tiêu chuẩn Fornell-Larcker. Mô hình cấu trúc được đánh giá thông qua VIF, hệ số đường dẫn và khoảng tin cậy bootstrap, R², f², Q² và mức phù hợp tổng thể theo SRMR. Các chỉ số d_ULS và d_G chỉ được diễn giải khi có ngưỡng tham chiếu từ bootstrap.</w:t>
      </w:r>
    </w:p>
    <w:p w:rsidR="00764EB5" w:rsidRPr="00296D82" w:rsidRDefault="00DF13CC" w:rsidP="003D6B28">
      <w:pPr>
        <w:rPr>
          <w:color w:val="auto"/>
          <w:spacing w:val="-4"/>
        </w:rPr>
      </w:pPr>
      <w:r w:rsidRPr="00296D82">
        <w:rPr>
          <w:color w:val="auto"/>
          <w:spacing w:val="-4"/>
        </w:rPr>
        <w:t>Tác động gián tiếp qua YDM được kiểm định bằng bootstrapping. Do mô hình gốc không bao gồm đầy đủ các đường trực tiếp từ TD, CCQ, NTHV và GTCN đến QDM, luận án không phân loại trung gian toàn phần hay trung gian một phần; luận án chỉ kết luận về ý nghĩa thống kê của các tác động gián tiếp qua YDM. Các kết luận chỉ xác nhận tác động gián tiếp có ý nghĩa thống kê trong cấu trúc mô hình đã đặc tả.</w:t>
      </w:r>
    </w:p>
    <w:p w:rsidR="00764EB5" w:rsidRDefault="00DF13CC" w:rsidP="003D6B28">
      <w:pPr>
        <w:rPr>
          <w:color w:val="auto"/>
        </w:rPr>
      </w:pPr>
      <w:r>
        <w:rPr>
          <w:color w:val="auto"/>
        </w:rPr>
        <w:t>Để hạn chế thiên lệch phương pháp chung, bảng hỏi được tổ chức thành các nhóm nội dung, sử dụng ngôn ngữ trung tính, bảo đảm ẩn danh và nhấn mạnh không có đáp án đúng hoặc sai. Tuy nhiên, do dữ liệu được thu thập tại một thời điểm bằng tự báo cáo và nghiên cứu chưa thiết kế biến đánh dấu, thiên lệch phương pháp chung vẫn được ghi nhận là một hạn chế cần kiểm soát tốt hơn trong nghiên cứu tiếp theo.</w:t>
      </w:r>
    </w:p>
    <w:p w:rsidR="00021C6B" w:rsidRDefault="00021C6B">
      <w:pPr>
        <w:suppressAutoHyphens w:val="0"/>
        <w:spacing w:line="240" w:lineRule="auto"/>
        <w:ind w:firstLine="0"/>
        <w:jc w:val="left"/>
        <w:rPr>
          <w:b/>
          <w:bCs/>
          <w:color w:val="auto"/>
        </w:rPr>
      </w:pPr>
      <w:r>
        <w:rPr>
          <w:b/>
          <w:bCs/>
          <w:color w:val="auto"/>
        </w:rPr>
        <w:br w:type="page"/>
      </w:r>
    </w:p>
    <w:p w:rsidR="00764EB5" w:rsidRDefault="00704B4E" w:rsidP="00021C6B">
      <w:pPr>
        <w:ind w:firstLine="0"/>
        <w:jc w:val="center"/>
        <w:outlineLvl w:val="0"/>
        <w:rPr>
          <w:b/>
          <w:bCs/>
          <w:color w:val="auto"/>
        </w:rPr>
      </w:pPr>
      <w:bookmarkStart w:id="406" w:name="_Toc241064390"/>
      <w:bookmarkStart w:id="407" w:name="_Toc241065323"/>
      <w:bookmarkStart w:id="408" w:name="_Toc241065541"/>
      <w:r>
        <w:rPr>
          <w:b/>
          <w:bCs/>
          <w:color w:val="auto"/>
        </w:rPr>
        <w:lastRenderedPageBreak/>
        <w:t>TÓM TẮT</w:t>
      </w:r>
      <w:r w:rsidR="00DF13CC">
        <w:rPr>
          <w:b/>
          <w:bCs/>
          <w:color w:val="auto"/>
        </w:rPr>
        <w:t xml:space="preserve"> CHƯƠNG 3</w:t>
      </w:r>
      <w:bookmarkEnd w:id="406"/>
      <w:bookmarkEnd w:id="407"/>
      <w:bookmarkEnd w:id="408"/>
    </w:p>
    <w:p w:rsidR="00764EB5" w:rsidRPr="00296D82" w:rsidRDefault="00764EB5" w:rsidP="003D6B28">
      <w:pPr>
        <w:jc w:val="center"/>
        <w:rPr>
          <w:color w:val="auto"/>
          <w:sz w:val="16"/>
        </w:rPr>
      </w:pPr>
    </w:p>
    <w:p w:rsidR="00764EB5" w:rsidRDefault="00DF13CC" w:rsidP="003D6B28">
      <w:pPr>
        <w:rPr>
          <w:color w:val="auto"/>
        </w:rPr>
      </w:pPr>
      <w:r>
        <w:rPr>
          <w:color w:val="auto"/>
        </w:rPr>
        <w:t>Chương 3 đã trình bày bối cảnh nghiên cứu, thiết kế và quy trình nghiên cứu được sử dụng để kiểm định mô hình các yếu tố ảnh hưởng đến Ý định mua và mức độ sẵn sàng ra quyết định mua căn hộ chung cư tại vùng Đông Nam Bộ. Trên cơ sở đặc điểm của thị trường và mục tiêu nghiên cứu, luận án sử dụng thiết kế nghiên cứu hỗn hợp theo hướng định tính hỗ trợ định lượng. Giai đoạn định tính được sử dụng để rà soát nội hàm khái niệm, kiểm tra tính phù hợp của các biến quan sát và hiệu chỉnh thang đo theo bối cảnh nghiên cứu; giai đoạn định lượng được sử dụng để kiểm định mô hình và các giả thuyết nghiên cứu.</w:t>
      </w:r>
    </w:p>
    <w:p w:rsidR="00764EB5" w:rsidRDefault="00DF13CC" w:rsidP="003D6B28">
      <w:pPr>
        <w:rPr>
          <w:color w:val="auto"/>
        </w:rPr>
      </w:pPr>
      <w:r>
        <w:rPr>
          <w:color w:val="auto"/>
        </w:rPr>
        <w:t xml:space="preserve">Các thang đo được kế thừa có chọn lọc từ các nghiên cứu trước, kết hợp với kết </w:t>
      </w:r>
      <w:r w:rsidRPr="00021C6B">
        <w:rPr>
          <w:color w:val="auto"/>
          <w:spacing w:val="-2"/>
        </w:rPr>
        <w:t>quả nghiên cứu định tính để hình thành bảng hỏi chính thức. Mô hình gồm sáu cấu trúc: Thái độ (TD), Chuẩn chủ quan (CCQ), Nhận thức kiểm soát hành vi (NTHV), Giá trị cảm nhận căn hộ (GTCN), Ý định mua (YDM) và mức độ sẵn sàng ra quyết định mua (QDM). Trong đó, YDM phản ánh dự định và kế hoạch mua, còn QDM phản ánh trạng thái gần hành động hơn, thể hiện mức độ sẵn sàng lựa chọn, thực hiện thủ tục và tiến tới giao dịch; QDM không được đồng nhất với hành vi mua đã hoàn tất.</w:t>
      </w:r>
    </w:p>
    <w:p w:rsidR="00764EB5" w:rsidRDefault="00DF13CC" w:rsidP="003D6B28">
      <w:pPr>
        <w:rPr>
          <w:color w:val="auto"/>
        </w:rPr>
      </w:pPr>
      <w:r>
        <w:rPr>
          <w:color w:val="auto"/>
        </w:rPr>
        <w:t>Nghiên cứu sử dụng phương pháp chọn mẫu phi xác suất theo hướng thuận tiện kết hợp lan truyền và thu được 361 quan sát hợp lệ. Việc xác định cỡ mẫu được đặt trong yêu cầu của phân tích PLS-SEM; đồng thời, luận án giới hạn phạm vi suy luận phù hợp với đặc điểm của mẫu nghiên cứu. Dữ liệu được xử lý bằng SPSS cho các phân tích mô tả và kiểm tra sơ bộ, trong khi SmartPLS được sử dụng để đánh giá mô hình đo lường và mô hình cấu trúc. Các tiêu chí phân tích bao gồm độ tin cậy thang đo, hệ số tải ngoài, giá trị hội tụ, giá trị phân biệt, VIF, hệ số đường dẫn, R², f², Q² và các tác động gián tiếp.</w:t>
      </w:r>
    </w:p>
    <w:p w:rsidR="00764EB5" w:rsidRDefault="00DF13CC" w:rsidP="003D6B28">
      <w:pPr>
        <w:rPr>
          <w:color w:val="auto"/>
        </w:rPr>
      </w:pPr>
      <w:r>
        <w:rPr>
          <w:color w:val="auto"/>
        </w:rPr>
        <w:t>Như vậy, Chương 3 đã xây dựng cơ sở phương pháp cần thiết để chuyển từ mô hình lý thuyết và các giả thuyết được hình thành ở Chương 2 sang kiểm định bằng dữ liệu thực nghiệm. Trên cơ sở quy trình và tiêu chí phân tích đã xác lập, Chương 4 tiếp tục trình bày kết quả đánh giá mô hình đo lường, mô hình cấu trúc, kiểm định giả thuyết và thảo luận các phát hiện của nghiên cứu.</w:t>
      </w:r>
    </w:p>
    <w:p w:rsidR="00764EB5" w:rsidRDefault="00DF13CC" w:rsidP="00296D82">
      <w:pPr>
        <w:pStyle w:val="Heading1"/>
        <w:ind w:firstLine="0"/>
        <w:rPr>
          <w:color w:val="auto"/>
          <w:sz w:val="20"/>
        </w:rPr>
      </w:pPr>
      <w:bookmarkStart w:id="409" w:name="_Toc234224128"/>
      <w:bookmarkStart w:id="410" w:name="_Toc241062466"/>
      <w:bookmarkStart w:id="411" w:name="_Toc241064391"/>
      <w:bookmarkStart w:id="412" w:name="_Toc241065324"/>
      <w:bookmarkStart w:id="413" w:name="_Toc241065542"/>
      <w:r>
        <w:rPr>
          <w:rFonts w:ascii="Times New Roman" w:hAnsi="Times New Roman"/>
          <w:color w:val="auto"/>
        </w:rPr>
        <w:lastRenderedPageBreak/>
        <w:t>CHƯƠNG 4:  PHÂN TÍCH YẾU TỐ ẢNH HƯỞNG TỚI QUYẾT ĐỊNH MUA CăN HỘ CHUNG CƯ</w:t>
      </w:r>
      <w:bookmarkEnd w:id="409"/>
      <w:bookmarkEnd w:id="410"/>
      <w:bookmarkEnd w:id="411"/>
      <w:bookmarkEnd w:id="412"/>
      <w:bookmarkEnd w:id="413"/>
    </w:p>
    <w:p w:rsidR="00764EB5" w:rsidRPr="00296D82" w:rsidRDefault="00764EB5" w:rsidP="007B644D">
      <w:pPr>
        <w:pStyle w:val="Heading2"/>
      </w:pPr>
      <w:bookmarkStart w:id="414" w:name="_Toc205701301"/>
      <w:bookmarkStart w:id="415" w:name="_Toc234224129"/>
    </w:p>
    <w:p w:rsidR="00764EB5" w:rsidRPr="00296D82" w:rsidRDefault="00DF13CC" w:rsidP="007B644D">
      <w:pPr>
        <w:pStyle w:val="Heading2"/>
      </w:pPr>
      <w:bookmarkStart w:id="416" w:name="_Toc241062467"/>
      <w:bookmarkStart w:id="417" w:name="_Toc241064392"/>
      <w:bookmarkStart w:id="418" w:name="_Toc241065325"/>
      <w:bookmarkStart w:id="419" w:name="_Toc241065543"/>
      <w:r w:rsidRPr="00296D82">
        <w:t>4.1. Thực trạng thị trường căn hộ chung cư vùng Đông Nam Bộ</w:t>
      </w:r>
      <w:bookmarkEnd w:id="416"/>
      <w:bookmarkEnd w:id="417"/>
      <w:bookmarkEnd w:id="418"/>
      <w:bookmarkEnd w:id="419"/>
    </w:p>
    <w:p w:rsidR="00764EB5" w:rsidRDefault="00DF13CC" w:rsidP="00021C6B">
      <w:pPr>
        <w:pStyle w:val="Heading3"/>
      </w:pPr>
      <w:bookmarkStart w:id="420" w:name="_Toc241062468"/>
      <w:bookmarkStart w:id="421" w:name="_Toc241064393"/>
      <w:bookmarkStart w:id="422" w:name="_Toc241065326"/>
      <w:bookmarkStart w:id="423" w:name="_Toc241065544"/>
      <w:r>
        <w:t>4.1.1. Đặc điểm Kinh tế xã hội liên quan tới thị trường căn hộ chung cư tại vùng Đông Nam Bộ</w:t>
      </w:r>
      <w:bookmarkEnd w:id="420"/>
      <w:bookmarkEnd w:id="421"/>
      <w:bookmarkEnd w:id="422"/>
      <w:bookmarkEnd w:id="423"/>
    </w:p>
    <w:p w:rsidR="00764EB5" w:rsidRDefault="00DF13CC" w:rsidP="003D6B28">
      <w:pPr>
        <w:ind w:firstLine="0"/>
        <w:rPr>
          <w:i/>
          <w:color w:val="auto"/>
        </w:rPr>
      </w:pPr>
      <w:r>
        <w:rPr>
          <w:i/>
          <w:color w:val="auto"/>
        </w:rPr>
        <w:t>4.1.1.1.Bối cảnh kinh tế xã hội</w:t>
      </w:r>
      <w:r w:rsidR="008C6F28">
        <w:rPr>
          <w:i/>
          <w:color w:val="auto"/>
        </w:rPr>
        <w:t xml:space="preserve"> </w:t>
      </w:r>
      <w:r>
        <w:rPr>
          <w:i/>
          <w:color w:val="auto"/>
        </w:rPr>
        <w:t>nói chung</w:t>
      </w:r>
    </w:p>
    <w:p w:rsidR="00764EB5" w:rsidRDefault="00DF13CC" w:rsidP="003D6B28">
      <w:pPr>
        <w:rPr>
          <w:color w:val="auto"/>
        </w:rPr>
      </w:pPr>
      <w:r>
        <w:rPr>
          <w:color w:val="auto"/>
        </w:rPr>
        <w:t>Động lực phát triển chủ yếu của vùng đến từ hệ thống khu công nghiệp, khu công nghệ cao và các trung tâm logistics quy mô lớn như Bàu Bàng, VSIP, Amata, Long Thành, Nhơn Trạch, cùng với mạng lưới cảng biển nước sâu và các sân bay quốc tế. Sự tập trung cao độ của các hoạt động kinh tế đã thu hút một lượng lớn lao động trong và ngoài nước, tạo ra dòng di cư cơ học mạnh mẽ và liên tục. Hệ quả trực tiếp là nhu cầu nhà ở tại các đô thị trong vùng tăng nhanh cả về số lượng lẫn chất lượng, trong đó nhà chung cư cao tầng trở thành giải pháp chủ đạo nhằm tối ưu hóa quỹ đất và đáp ứng yêu cầu sống hiện đại.</w:t>
      </w:r>
    </w:p>
    <w:p w:rsidR="00764EB5" w:rsidRDefault="00DF13CC" w:rsidP="003D6B28">
      <w:pPr>
        <w:rPr>
          <w:color w:val="auto"/>
        </w:rPr>
      </w:pPr>
      <w:r>
        <w:rPr>
          <w:color w:val="auto"/>
        </w:rPr>
        <w:t>Tỷ lệ đô thị hóa của Đông Nam Bộ hiện đạt mức cao nhất cả nước, song tồn tại sự chênh lệch đáng kể giữa các địa phương trong vùng. Bình Dương (trước sáp nhập) là địa phương có tỷ lệ đô thị hóa cao nhất, xấp xỉ 85%, trong khi TP. Hồ Chí Minh – đô thị đặc biệt – phải đối mặt với áp lực dân số rất lớn (khoảng 9,5 triệu người trên diện tích 2.095 km² năm 2024), dẫn đến tình trạng khan hiếm quỹ đất ở khu vực nội đô. Ngược lại, Đồng Nai và Bà Rịa – Vũng Tàu có tỷ lệ đô thị hóa lần lượt khoảng 45% và 62%, phản ánh dư địa phát triển đô thị và nhà ở vẫn còn tương đối lớn, đặc biệt tại các khu vực ven đô và các đô thị mới hình thành.</w:t>
      </w:r>
    </w:p>
    <w:p w:rsidR="00764EB5" w:rsidRDefault="00DF13CC" w:rsidP="003D6B28">
      <w:pPr>
        <w:rPr>
          <w:color w:val="auto"/>
        </w:rPr>
      </w:pPr>
      <w:r>
        <w:rPr>
          <w:color w:val="auto"/>
        </w:rPr>
        <w:t>Sự khác biệt về mức độ đô thị hóa này dẫn đến sự phân hóa rõ rệt trong mô hình phát triển nhà ở. Tại các đô thị trung tâm như TP. Hồ Chí Minh và Bình Dương, mô hình phát triển “đô thị nén” với mật độ xây dựng cao và nhà ở cao tầng chiếm ưu thế, trong đó chung cư trở thành loại hình chủ đạo. Trong khi đó, tại Đồng Nai và Tây Ninh, nhà ở thấp tầng vẫn chiếm tỷ trọng đáng kể, và chung cư chủ yếu xuất hiện tại các khu vực trung tâm hành chính, khu công nghiệp hoặc các dự án đô thị mới có quy hoạch đồng bộ.</w:t>
      </w:r>
    </w:p>
    <w:p w:rsidR="00764EB5" w:rsidRDefault="00DF13CC" w:rsidP="00296D82">
      <w:pPr>
        <w:spacing w:line="341" w:lineRule="auto"/>
        <w:rPr>
          <w:color w:val="auto"/>
        </w:rPr>
      </w:pPr>
      <w:r>
        <w:rPr>
          <w:color w:val="auto"/>
        </w:rPr>
        <w:lastRenderedPageBreak/>
        <w:t xml:space="preserve">Bối cảnh kinh tế – xã hội và đô thị hóa nêu trên đã định hình những đặc điểm cơ bản của thị trường chung cư tại Đông Nam Bộ. Các dự án căn hộ cao tầng, đặc biệt là phân khúc trung và cao cấp, tập trung dày đặc tại các khu vực có tốc độ đô thị hóa mạnh, hạ tầng phát triển và khả năng kết nối cao. Ngược lại, tại các địa phương có mức độ đô thị hóa thấp hơn, thị trường chung cư phát triển chậm hơn, quy mô nhỏ hơn và mang tính bổ trợ cho các loại hình nhà ở truyền thống. Chính sự phân hóa này tạo nên tính đa dạng và phức tạp của thị trường chung cư Đông Nam Bộ, đồng thời đặt ra yêu cầu phải phân tích sâu các yếu tố địa bàn trước khi xem xét hành vi và quyết định mua của người tiêu dùng. </w:t>
      </w:r>
    </w:p>
    <w:p w:rsidR="00764EB5" w:rsidRDefault="00DF13CC" w:rsidP="00021C6B">
      <w:pPr>
        <w:pStyle w:val="Heading4"/>
      </w:pPr>
      <w:r>
        <w:t>4.1.1.2. Vị trí địa lý và đô thị hóa ảnh hưởng đến chung cư</w:t>
      </w:r>
    </w:p>
    <w:p w:rsidR="00764EB5" w:rsidRDefault="00DF13CC" w:rsidP="00296D82">
      <w:pPr>
        <w:spacing w:line="341" w:lineRule="auto"/>
        <w:rPr>
          <w:color w:val="auto"/>
        </w:rPr>
      </w:pPr>
      <w:r>
        <w:rPr>
          <w:color w:val="auto"/>
        </w:rPr>
        <w:t>Vị trí địa lý và mức độ đô thị hóa là hai yếu tố nền tảng định hình cấu trúc không gian đô thị, phương thức phát triển nhà ở cũng như hành vi và quyết định mua căn hộ chung cư của người tiêu dùng tại khu vực Đông Nam Bộ. Với vai trò là vùng kinh tế trọng điểm phía Nam, Đông Nam Bộ sở hữu lợi thế nổi trội về vị trí chiến lược, đóng vai trò là cửa ngõ giao thương quốc tế, trung tâm kết nối liên vùng và đầu mối trung chuyển hàng hóa, dịch vụ của cả nước.</w:t>
      </w:r>
    </w:p>
    <w:p w:rsidR="00764EB5" w:rsidRDefault="00DF13CC" w:rsidP="00296D82">
      <w:pPr>
        <w:spacing w:line="341" w:lineRule="auto"/>
        <w:rPr>
          <w:color w:val="auto"/>
        </w:rPr>
      </w:pPr>
      <w:r>
        <w:rPr>
          <w:color w:val="auto"/>
        </w:rPr>
        <w:t>Xét về vị trí địa lý, Đông Nam Bộ nằm ở khu vực trung tâm của miền Nam Việt Nam, tiếp giáp với Đồng bằng sông Cửu Long ở phía Tây Nam, Duyên hải Nam Trung Bộ ở phía Đông và Đông Bắc, đồng thời có đường bờ biển dài thuận lợi cho phát triển kinh tế biển, logistics và du lịch. Sau quá trình sắp xếp, sáp nhập đơn vị hành chính, không gian phát triển của vùng được mở rộng và tái cấu trúc theo hướng tăng cường liên kết nội vùng, giảm chồng chéo chức năng giữa các địa phương. Sự hình thành các cực tăng trưởng mới và các hành lang kinh tế – đô thị đã làm thay đổi mạnh mẽ phân bố dân cư và nhu cầu nhà ở, đặc biệt là nhu cầu đối với căn hộ chung cư tại các đô thị trung tâm và vùng ven đô.</w:t>
      </w:r>
    </w:p>
    <w:p w:rsidR="00764EB5" w:rsidRDefault="00DF13CC" w:rsidP="00296D82">
      <w:pPr>
        <w:spacing w:line="341" w:lineRule="auto"/>
        <w:rPr>
          <w:color w:val="auto"/>
        </w:rPr>
      </w:pPr>
      <w:r>
        <w:rPr>
          <w:color w:val="auto"/>
        </w:rPr>
        <w:t>Thành phố Hồ Chí Minh (mở rộng) giữ vai trò hạt nhân của vùng Đông Nam Bộ, là trung tâm kinh tế, tài chính, thương mại và dịch vụ lớn nhất cả nước. Áp lực dân số cao, quỹ đất nội đô hạn chế và chi phí đất đai ngày càng tăng đã khiến mô hình phát triển nhà ở theo chiều cao trở thành xu hướng tất yếu. Chung cư không chỉ là giải pháp đáp ứng nhu cầu nhà ở cho đại bộ phận dân cư, mà còn là hình thức tổ chức không gian sống phù hợp với yêu cầu đô thị hiện đại, tiết kiệm đất và nâng cao hiệu quả sử dụng hạ tầng.</w:t>
      </w:r>
    </w:p>
    <w:p w:rsidR="00764EB5" w:rsidRDefault="00DF13CC" w:rsidP="003D6B28">
      <w:pPr>
        <w:rPr>
          <w:color w:val="auto"/>
        </w:rPr>
      </w:pPr>
      <w:r>
        <w:rPr>
          <w:color w:val="auto"/>
        </w:rPr>
        <w:lastRenderedPageBreak/>
        <w:t>Tại các địa phương vệ tinh như Đồng Nai và Tây Ninh (mở rộng), quá trình đô thị hóa diễn ra nhanh chóng nhưng không đồng đều giữa các khu vực. Các đô thị gắn với khu công nghiệp, khu kinh tế cửa khẩu, trung tâm hành chính mới hoặc các trục giao thông chiến lược có tốc độ đô thị hóa cao hơn rõ rệt so với khu vực nông thôn truyền thống. Điều này dẫn đến sự phân hóa trong nhu cầu và hành vi mua nhà ở: trong khi một bộ phận dân cư vẫn ưu tiên nhà ở thấp tầng, thì nhu cầu đối với căn hộ chung cư ngày càng gia tăng tại các khu vực có mật độ lao động nhập cư cao, giá đất tăng nhanh và yêu cầu về tiện ích, dịch vụ đô thị ngày càng lớn.</w:t>
      </w:r>
    </w:p>
    <w:p w:rsidR="00764EB5" w:rsidRDefault="00DF13CC" w:rsidP="003D6B28">
      <w:pPr>
        <w:rPr>
          <w:color w:val="auto"/>
        </w:rPr>
      </w:pPr>
      <w:r>
        <w:rPr>
          <w:color w:val="auto"/>
        </w:rPr>
        <w:t>Mức độ đô thị hóa cao của Đông Nam Bộ không chỉ thể hiện ở tỷ lệ dân số đô thị, mà còn ở chất lượng đô thị hóa, bao gồm sự phát triển của hạ tầng kỹ thuật, hạ tầng xã hội và hệ thống dịch vụ đi kèm. Quá trình này tạo ra những thay đổi căn bản trong phong cách sống, cấu trúc hộ gia đình và kỳ vọng của người dân đối với không gian ở. Người mua nhà ngày càng quan tâm nhiều hơn đến các yếu tố như khả năng kết nối giao thông, khoảng cách đến nơi làm việc, trường học, cơ sở y tế, trung tâm thương mại và các tiện ích công cộng, thay vì chỉ tập trung vào diện tích hay hình thức sở hữu nhà ở như trước đây.</w:t>
      </w:r>
    </w:p>
    <w:p w:rsidR="00764EB5" w:rsidRDefault="00DF13CC" w:rsidP="003D6B28">
      <w:pPr>
        <w:rPr>
          <w:color w:val="auto"/>
          <w:spacing w:val="-4"/>
        </w:rPr>
      </w:pPr>
      <w:r>
        <w:rPr>
          <w:color w:val="auto"/>
          <w:spacing w:val="-4"/>
        </w:rPr>
        <w:t>Sự gia tăng nhanh chóng của giá đất và giá nhà ở tại các khu vực đô thị trung tâm cũng là hệ quả trực tiếp của quá trình đô thị hóa mạnh mẽ. Trong bối cảnh đó, căn hộ chung cư được xem là lựa chọn phù hợp hơn về khả năng chi trả đối với nhiều nhóm khách hàng, đặc biệt là người trẻ, hộ gia đình mới hình thành và lao động nhập cư có thu nhập ổn định. Đồng thời, sự biến động của giá bất động sản theo không gian đô thị và theo chu kỳ kinh tế cũng tác động đáng kể đến tâm lý, kỳ vọng và thời điểm ra quyết định mua của người tiêu dùng.</w:t>
      </w:r>
    </w:p>
    <w:p w:rsidR="00764EB5" w:rsidRDefault="00DF13CC" w:rsidP="003D6B28">
      <w:pPr>
        <w:rPr>
          <w:color w:val="auto"/>
        </w:rPr>
      </w:pPr>
      <w:r>
        <w:rPr>
          <w:color w:val="auto"/>
        </w:rPr>
        <w:t>Như vậy, vị trí địa lý thuận lợi kết hợp với mức độ đô thị hóa cao đã tạo ra những điều kiện đặc thù cho sự phát triển của thị trường căn hộ chung cư tại Đông Nam Bộ. Các đặc điểm này không chỉ ảnh hưởng đến nguồn cung và cấu trúc thị trường, mà còn chi phối trực tiếp hệ thống tiêu chí đánh giá, động cơ và hành vi quyết định mua của khách hàng. Việc nhận diện rõ vai trò của vị trí và đô thị hóa là cơ sở quan trọng để phân tích sâu hơn các yếu tố hạ tầng, kinh tế – xã hội và tâm lý tiêu dùng trong các mục tiếp theo của chương.</w:t>
      </w:r>
    </w:p>
    <w:p w:rsidR="00764EB5" w:rsidRDefault="00DF13CC" w:rsidP="00021C6B">
      <w:pPr>
        <w:pStyle w:val="Heading4"/>
      </w:pPr>
      <w:r>
        <w:lastRenderedPageBreak/>
        <w:t>4.1.1.3. Hạ tầng kỹ thuật và xã hội</w:t>
      </w:r>
    </w:p>
    <w:p w:rsidR="00764EB5" w:rsidRDefault="00DF13CC" w:rsidP="003D6B28">
      <w:pPr>
        <w:rPr>
          <w:color w:val="auto"/>
        </w:rPr>
      </w:pPr>
      <w:r>
        <w:rPr>
          <w:color w:val="auto"/>
        </w:rPr>
        <w:t>Hạ tầng kỹ thuật và hạ tầng xã hội được xem là một trong những nền tảng quan trọng nhất chi phối sự phát triển đô thị và thị trường bất động sản, đặc biệt là phân khúc căn hộ chung cư. Trong vùng Đông Nam Bộ, quá trình đầu tư và hoàn thiện hạ tầng diễn ra mạnh mẽ trong nhiều năm qua, gắn liền với chiến lược phát triển vùng kinh tế trọng điểm phía Nam và định hướng hình thành các cực tăng trưởng, đô thị vệ tinh và hành lang công nghiệp – dịch vụ liên vùng.</w:t>
      </w:r>
    </w:p>
    <w:p w:rsidR="00764EB5" w:rsidRDefault="00DF13CC" w:rsidP="003D6B28">
      <w:pPr>
        <w:rPr>
          <w:color w:val="auto"/>
        </w:rPr>
      </w:pPr>
      <w:r>
        <w:rPr>
          <w:color w:val="auto"/>
        </w:rPr>
        <w:t xml:space="preserve">Về hạ tầng kỹ thuật, Đông Nam Bộ sở hữu mạng lưới giao thông đa dạng và có mức độ kết nối cao so với các vùng khác trong cả nước. Hệ thống đường bộ liên vùng </w:t>
      </w:r>
      <w:r w:rsidRPr="00021C6B">
        <w:rPr>
          <w:color w:val="auto"/>
          <w:spacing w:val="-2"/>
        </w:rPr>
        <w:t>và nội vùng liên tục được mở rộng thông qua các tuyến cao tốc, quốc lộ và đường vành đai, đóng vai trò kết nối trung tâm đô thị lớn với các khu vực vệ tinh và khu công nghiệp. Trong giai đoạn gần đây, cùng với việc điều chỉnh và sáp nhập địa giới hành chính tại một số địa phương, phạm vi quản lý đô thị được mở rộng, kéo theo nhu cầu đồng bộ hóa hạ tầng giao thông, cấp thoát nước, điện năng và viễn thông. Điều này làm gia tăng giá trị tiếp cận của các dự án căn hộ chung cư nằm tại các khu vực giáp ranh hoặc mới được nâng cấp đơn vị hành chính, khi khoảng cách không gian hành chính được rút ngắn nhưng mức độ kết nối hạ tầng lại được cải thiện đáng kể.</w:t>
      </w:r>
    </w:p>
    <w:p w:rsidR="00764EB5" w:rsidRDefault="00DF13CC" w:rsidP="003D6B28">
      <w:pPr>
        <w:rPr>
          <w:color w:val="auto"/>
        </w:rPr>
      </w:pPr>
      <w:r>
        <w:rPr>
          <w:color w:val="auto"/>
        </w:rPr>
        <w:t>Hạ tầng logistics và giao thông cửa ngõ, bao gồm cảng biển, sân bay và các trung tâm logistics, cũng là lợi thế nổi bật của vùng Đông Nam Bộ. Việc mở rộng, nâng cấp các đầu mối này không chỉ thúc đẩy hoạt động sản xuất – thương mại mà còn tạo ra làn sóng dịch chuyển lao động, chuyên gia và cư dân đến sinh sống lâu dài tại khu vực. Nhu cầu nhà ở, đặc biệt là căn hộ chung cư có vị trí thuận tiện, kết nối nhanh với nơi làm việc và các trung tâm dịch vụ, theo đó gia tăng rõ rệt. Trong bối cảnh này, hạ tầng kỹ thuật không chỉ đóng vai trò “điều kiện cần” cho phát triển đô thị, mà còn trở thành yếu tố đánh giá giá trị và tính hấp dẫn của dự án căn hộ trong quyết định mua của khách hàng.</w:t>
      </w:r>
    </w:p>
    <w:p w:rsidR="00764EB5" w:rsidRDefault="00DF13CC" w:rsidP="003D6B28">
      <w:pPr>
        <w:rPr>
          <w:color w:val="auto"/>
        </w:rPr>
      </w:pPr>
      <w:r>
        <w:rPr>
          <w:color w:val="auto"/>
        </w:rPr>
        <w:t xml:space="preserve">Bên cạnh hạ tầng kỹ thuật, hạ tầng xã hội tại Đông Nam Bộ cũng có những bước phát triển đáng kể, đặc biệt tại các đô thị trung tâm và khu vực đang trong quá trình đô thị hóa nhanh. Hệ thống giáo dục, y tế, thương mại, dịch vụ công cộng và </w:t>
      </w:r>
      <w:r>
        <w:rPr>
          <w:color w:val="auto"/>
        </w:rPr>
        <w:lastRenderedPageBreak/>
        <w:t>không gian sinh hoạt cộng đồng ngày càng được đầu tư đồng bộ hơn, cả về số lượng lẫn chất lượng. Việc mở rộng địa giới hành chính tại một số đô thị đã tạo điều kiện để tái cấu trúc mạng lưới hạ tầng xã hội, phân bố lại các công trình giáo dục, y tế và dịch vụ theo hướng giảm áp lực cho khu vực lõi đô thị, đồng thời nâng cao chất lượng sống tại các khu vực mới sáp nhập.</w:t>
      </w:r>
    </w:p>
    <w:p w:rsidR="00764EB5" w:rsidRDefault="00DF13CC" w:rsidP="003D6B28">
      <w:pPr>
        <w:rPr>
          <w:color w:val="auto"/>
          <w:spacing w:val="-4"/>
        </w:rPr>
      </w:pPr>
      <w:r>
        <w:rPr>
          <w:color w:val="auto"/>
        </w:rPr>
        <w:t>Đối với người mua căn hộ chung cư, hạ tầng xã hội đóng vai trò quan trọng trong việc hình thành nhận thức về môi trường sống dài hạn. Khả năng tiếp cận trường học, bệnh viện, trung tâm thương mại, công viên và các tiện ích công cộng khác thường được xem là tiêu chí then chốt, đặc biệt đối với các hộ gia đình trẻ và nhóm cư dân có kế hoạch an cư lâu dài. Trong nhiều trường hợp, sự đầy đủ và đồng bộ của hạ tầng xã hội có thể bù đắp cho những hạn chế về khoảng cách địa lý hoặc giá cả, từ đó tác động trực tiếp đến ý định và quyết định mua.</w:t>
      </w:r>
    </w:p>
    <w:p w:rsidR="00764EB5" w:rsidRDefault="00DF13CC" w:rsidP="003D6B28">
      <w:pPr>
        <w:rPr>
          <w:color w:val="auto"/>
        </w:rPr>
      </w:pPr>
      <w:r>
        <w:rPr>
          <w:color w:val="auto"/>
        </w:rPr>
        <w:t>Từ góc độ hành vi tiêu dùng, sự phát triển của hạ tầng kỹ thuật và xã hội không chỉ ảnh hưởng đến giá trị khách quan của bất động sản, mà còn tác động đến giá trị cảm nhận của người mua. Các dự án căn hộ nằm trong khu vực có hạ tầng hoàn chỉnh hoặc có triển vọng nâng cấp rõ ràng thường tạo ra kỳ vọng tích cực về chất lượng sống và khả năng gia tăng giá trị trong tương lai. Kỳ vọng này, kết hợp với thông tin truyền thông và uy tín của chủ đầu tư, có thể làm gia tăng động cơ mua ngay cả khi mức giá cao hơn mặt bằng chung.</w:t>
      </w:r>
    </w:p>
    <w:p w:rsidR="00764EB5" w:rsidRDefault="00DF13CC" w:rsidP="003D6B28">
      <w:pPr>
        <w:rPr>
          <w:color w:val="auto"/>
          <w:spacing w:val="-2"/>
        </w:rPr>
      </w:pPr>
      <w:r>
        <w:rPr>
          <w:color w:val="auto"/>
          <w:spacing w:val="-2"/>
        </w:rPr>
        <w:t>Như vậy, trong bối cảnh vùng Đông Nam Bộ đang trải qua quá trình tái cấu trúc không gian đô thị gắn với điều chỉnh địa giới hành chính và đầu tư hạ tầng quy mô lớn, hạ tầng kỹ thuật và hạ tầng xã hội trở thành nhóm nhân tố có ảnh hưởng mạnh mẽ đến quyết định mua căn hộ chung cư. Việc phân tích đầy đủ vai trò của nhóm nhân tố này là cơ sở quan trọng để lý giải hành vi người mua và xây dựng mô hình nghiên cứu phù hợp trong các phần tiếp theo của luận án.</w:t>
      </w:r>
    </w:p>
    <w:p w:rsidR="00764EB5" w:rsidRDefault="00DF13CC" w:rsidP="00021C6B">
      <w:pPr>
        <w:pStyle w:val="Heading4"/>
      </w:pPr>
      <w:r>
        <w:t>4.1.1.4. Pháp lý và quyền sở hữu căn hộ chung cư</w:t>
      </w:r>
    </w:p>
    <w:p w:rsidR="00764EB5" w:rsidRDefault="00DF13CC" w:rsidP="003D6B28">
      <w:pPr>
        <w:rPr>
          <w:color w:val="auto"/>
        </w:rPr>
      </w:pPr>
      <w:r>
        <w:rPr>
          <w:color w:val="auto"/>
        </w:rPr>
        <w:t xml:space="preserve">Khung pháp lý điều chỉnh nhà chung cư tại Việt Nam được xây dựng thống nhất trên phạm vi cả nước, với nền tảng là Luật Nhà ở, Luật Đất đai, Luật Kinh doanh bất động sản và các nghị định, thông tư hướng dẫn thi hành. Tuy nhiên, trong thực tiễn triển khai tại vùng Đông Nam Bộ – khu vực có tốc độ đô thị hóa cao và thị </w:t>
      </w:r>
      <w:r>
        <w:rPr>
          <w:color w:val="auto"/>
        </w:rPr>
        <w:lastRenderedPageBreak/>
        <w:t>trường bất động sản phát triển mạnh – việc áp dụng pháp luật vẫn thể hiện những khác biệt đáng kể giữa các địa phương, ảnh hưởng trực tiếp đến nguồn cung, mức độ rủi ro và hành vi mua căn hộ của người tiêu dùng.</w:t>
      </w:r>
    </w:p>
    <w:p w:rsidR="00764EB5" w:rsidRDefault="00DF13CC" w:rsidP="00021C6B">
      <w:pPr>
        <w:spacing w:line="353" w:lineRule="auto"/>
        <w:rPr>
          <w:color w:val="auto"/>
        </w:rPr>
      </w:pPr>
      <w:r>
        <w:rPr>
          <w:color w:val="auto"/>
        </w:rPr>
        <w:t>Về chế độ quyền sở hữu, người mua căn hộ chung cư được cấp Giấy chứng nhận quyền sở hữu nhà ở và quyền sử dụng đất ở (thường gọi là “sổ hồng”), trong đó xác lập rõ quyền sở hữu riêng đối với phần diện tích căn hộ và quyền sở hữu chung, sử dụng chung đối với các phần diện tích, công trình hạ tầng trong nhà chung cư. Tuy nhiên, đặc điểm pháp lý gây nhiều tranh luận và tác động tâm lý mạnh đến người mua là thời hạn sử dụng đất của các dự án chung cư. Phần lớn các dự án tại Đông Nam Bộ được Nhà nước giao đất hoặc cho thuê đất có thời hạn 50–70 năm đối với chủ đầu tư; quyền sở hữu căn hộ của người mua gắn với thời hạn sử dụng công trình theo quy định pháp luật. So với nhà ở riêng lẻ gắn với đất ở ổn định lâu dài, yếu tố “có thời hạn” này khiến một bộ phận người dân, đặc biệt là nhóm mua để ở lâu dài, còn tâm lý e dè, ảnh hưởng đến quyết định mua.</w:t>
      </w:r>
    </w:p>
    <w:p w:rsidR="00764EB5" w:rsidRDefault="00DF13CC" w:rsidP="00021C6B">
      <w:pPr>
        <w:spacing w:line="353" w:lineRule="auto"/>
        <w:rPr>
          <w:color w:val="auto"/>
        </w:rPr>
      </w:pPr>
      <w:r>
        <w:rPr>
          <w:color w:val="auto"/>
        </w:rPr>
        <w:t>Trong giai đoạn 2019–2022, thị trường căn hộ tại Đông Nam Bộ bộc lộ rõ sự không đồng đều trong công tác quản lý pháp lý giữa các địa phương. Tại TP. Hồ Chí Minh – đô thị trung tâm của vùng – quá trình rà soát pháp lý dự án, thủ tục giao đất, xác định nghĩa vụ tài chính và cấp Giấy chứng nhận cho người mua diễn ra chậm, dẫn đến tình trạng nguồn cung căn hộ sụt giảm mạnh. Theo các báo cáo thị trường, năm 2023 TP. Hồ Chí Minh chỉ ghi nhận khoảng 9.000–10.700 căn hộ mở bán mới, mức thấp nhất trong vòng một thập niên. Ngược lại, tại Bình Dương và một số địa phương vệ tinh, thủ tục phê duyệt dự án có phần linh hoạt hơn, giúp nguồn cung gia tăng nhanh chóng, song cũng tiềm ẩn rủi ro về tính hoàn chỉnh pháp lý của một số dự án, đặc biệt trong giai đoạn thị trường tăng trưởng nóng.</w:t>
      </w:r>
    </w:p>
    <w:p w:rsidR="00764EB5" w:rsidRPr="00021C6B" w:rsidRDefault="00DF13CC" w:rsidP="00021C6B">
      <w:pPr>
        <w:spacing w:line="353" w:lineRule="auto"/>
        <w:rPr>
          <w:color w:val="auto"/>
          <w:spacing w:val="-2"/>
        </w:rPr>
      </w:pPr>
      <w:r w:rsidRPr="00021C6B">
        <w:rPr>
          <w:color w:val="auto"/>
          <w:spacing w:val="-2"/>
        </w:rPr>
        <w:t xml:space="preserve">Bên cạnh vấn đề cấp giấy chứng nhận, quản lý và vận hành nhà chung cư sau bàn giao là một nội dung pháp lý – thực tiễn có ảnh hưởng lớn đến niềm tin của người mua. Các tranh chấp phổ biến tại Đông Nam Bộ liên quan đến việc bàn giao và sử dụng quỹ bảo trì 2%, mức phí dịch vụ, quyền hạn và trách nhiệm giữa chủ đầu tư, ban quản trị và đơn vị quản lý vận hành. Không ít vụ việc kéo dài nhiều năm, gây ảnh hưởng tiêu cực đến môi trường sống và giá trị tài sản của cư dân. Trong bối cảnh đó, người mua căn hộ ngày càng quan tâm đến uy tín pháp lý và năng lực quản trị của </w:t>
      </w:r>
      <w:r w:rsidRPr="00021C6B">
        <w:rPr>
          <w:color w:val="auto"/>
          <w:spacing w:val="-2"/>
        </w:rPr>
        <w:lastRenderedPageBreak/>
        <w:t>chủ đầu tư, coi đây là tiêu chí quan trọng ngang với vị trí và giá bán khi ra quyết định mua.</w:t>
      </w:r>
    </w:p>
    <w:p w:rsidR="00764EB5" w:rsidRDefault="00DF13CC" w:rsidP="00021C6B">
      <w:pPr>
        <w:spacing w:line="329" w:lineRule="auto"/>
        <w:rPr>
          <w:color w:val="auto"/>
        </w:rPr>
      </w:pPr>
      <w:r>
        <w:rPr>
          <w:color w:val="auto"/>
        </w:rPr>
        <w:t>Công tác an toàn kỹ thuật và phòng cháy chữa cháy (PCCC) đối với chung cư cao tầng cũng được siết chặt hơn trong những năm gần đây. Sau một số sự cố nghiêm trọng, các quy định về thẩm duyệt thiết kế, nghiệm thu PCCC và vận hành hệ thống an toàn được tăng cường, làm gia tăng chi phí tuân thủ đối với chủ đầu tư nhưng đồng thời nâng cao mức độ an toàn cho cư dân. Đối với người mua, yếu tố PCCC không còn là nội dung mang tính hình thức mà trở thành mối quan tâm thực chất, ảnh hưởng đến mức độ sẵn sàng chi trả và lựa chọn dự án.</w:t>
      </w:r>
    </w:p>
    <w:p w:rsidR="00764EB5" w:rsidRDefault="00DF13CC" w:rsidP="00021C6B">
      <w:pPr>
        <w:spacing w:line="329" w:lineRule="auto"/>
        <w:rPr>
          <w:color w:val="auto"/>
        </w:rPr>
      </w:pPr>
      <w:r>
        <w:rPr>
          <w:color w:val="auto"/>
        </w:rPr>
        <w:t>Khung pháp lý hiện hành, đặc biệt Luật Nhà ở 2023 và Luật Kinh doanh bất động sản 2023 có hiệu lực sớm từ ngày 01/8/2024 theo Luật số 43/2024/QH15, tăng yêu cầu về điều kiện giao dịch, công khai thông tin và sử dụng nhà ở đúng công năng. Đối với căn hộ chung cư được thiết kế để ở, việc sử dụng phải phù hợp công năng và quy định quản lý có liên quan; vì vậy các mô hình khai thác lưu trú ngắn hạn cần được xem xét thận trọng theo pháp luật chuyên ngành và quy định của địa phương, thay vì đồng nhất với quyền sử dụng căn hộ để ở. Sự thay đổi này làm cho tính rõ ràng của pháp lý và quy chế vận hành trở thành nội dung quan trọng trong đánh giá rủi ro của người mua Quốc hội, 2023a; Quốc hội,  2023b; Quốc hội, 2024).</w:t>
      </w:r>
    </w:p>
    <w:p w:rsidR="00764EB5" w:rsidRDefault="00DF13CC" w:rsidP="00021C6B">
      <w:pPr>
        <w:spacing w:line="329" w:lineRule="auto"/>
        <w:rPr>
          <w:color w:val="auto"/>
        </w:rPr>
      </w:pPr>
      <w:r>
        <w:rPr>
          <w:color w:val="auto"/>
        </w:rPr>
        <w:t>Trong bối cảnh điều chỉnh và sắp xếp địa giới hành chính, việc thống nhất quản lý đô thị, đất đai và nhà ở càng trở nên quan trọng. Sự mở rộng không gian đô thị và hình thành các đơn vị hành chính mới đòi hỏi cơ quan quản lý phải đồng bộ hóa quy hoạch, thủ tục pháp lý và cơ chế giám sát thị trường, nhằm tránh tình trạng chồng chéo, thiếu minh bạch. Đối với người mua căn hộ, mức độ rõ ràng và ổn định của khung pháp lý ngày càng trở thành yếu tố then chốt trong việc đánh giá rủi ro và ra quyết định đầu tư hay an cư lâu dài.</w:t>
      </w:r>
    </w:p>
    <w:p w:rsidR="00764EB5" w:rsidRDefault="00DF13CC" w:rsidP="00021C6B">
      <w:pPr>
        <w:spacing w:line="329" w:lineRule="auto"/>
        <w:rPr>
          <w:color w:val="auto"/>
          <w:spacing w:val="-2"/>
        </w:rPr>
      </w:pPr>
      <w:r>
        <w:rPr>
          <w:color w:val="auto"/>
        </w:rPr>
        <w:t>Tóm lại, pháp lý và quyền sở hữu căn hộ chung cư tại Đông Nam Bộ không chỉ là nền tảng đảm bảo quyền lợi hợp pháp của người mua, mà còn là nhân tố có ảnh hưởng sâu sắc đến tâm lý, kỳ vọng và hành vi quyết định mua. Trong bối cảnh thị trường đang chuyển từ tăng trưởng nóng sang phát triển bền vững, yêu cầu về minh bạch, ổn định và nhất quán pháp lý ngày càng trở nên cấp thiết, góp phần định hình lại cấu trúc thị trường chung cư toàn vùng trong giai đoạn tới.</w:t>
      </w:r>
    </w:p>
    <w:p w:rsidR="00764EB5" w:rsidRPr="00021C6B" w:rsidRDefault="00DF13CC" w:rsidP="00021C6B">
      <w:pPr>
        <w:pStyle w:val="Heading4"/>
        <w:rPr>
          <w:b/>
        </w:rPr>
      </w:pPr>
      <w:r w:rsidRPr="00021C6B">
        <w:rPr>
          <w:b/>
        </w:rPr>
        <w:t>4.1.2. Thực trạng thị trường căn hộ chung cứ vùng Đông Nam Bộ</w:t>
      </w:r>
    </w:p>
    <w:p w:rsidR="00764EB5" w:rsidRDefault="00DF13CC" w:rsidP="00296D82">
      <w:pPr>
        <w:spacing w:line="348" w:lineRule="auto"/>
        <w:ind w:firstLine="0"/>
        <w:rPr>
          <w:i/>
          <w:color w:val="auto"/>
        </w:rPr>
      </w:pPr>
      <w:r>
        <w:rPr>
          <w:i/>
          <w:color w:val="auto"/>
        </w:rPr>
        <w:t>4.1.2.1. Các loại hình can hộ chung cư</w:t>
      </w:r>
    </w:p>
    <w:p w:rsidR="00764EB5" w:rsidRDefault="00DF13CC" w:rsidP="00021C6B">
      <w:pPr>
        <w:spacing w:line="341" w:lineRule="auto"/>
        <w:rPr>
          <w:color w:val="auto"/>
        </w:rPr>
      </w:pPr>
      <w:r>
        <w:rPr>
          <w:color w:val="auto"/>
        </w:rPr>
        <w:lastRenderedPageBreak/>
        <w:t>Vùng Đông Nam Bộ là địa bàn có tốc độ đô thị hóa cao, tập trung nhiều khu công nghiệp, khu đô thị mới và có nhu cầu nhà ở lớn, đặc biệt đối với phân khúc căn hộ chung cư thương mại.Thị trường căn hộ chung cư tại khu vực Đông Nam Bộ (ĐNB) thể hiện mức độ đa dạng cao, vừa phản ánh nhu cầu nhà ở và đầu tư phong phú, vừa cho thấy sự phân hóa sâu sắc theo phân khúc giá và loại hình. Sự gia tăng mạnh mẽ về mức giá trung bình trong vài năm gần đây đã biến thị trường này thành một trong những thị trường bất động sản có tốc độ tăng giá nhanh nhất cả nước, đặt ra thách thức lớn cho khả năng tiếp cận nhà ở của đại bộ phận người dân.</w:t>
      </w:r>
    </w:p>
    <w:p w:rsidR="00764EB5" w:rsidRDefault="00DF13CC" w:rsidP="00021C6B">
      <w:pPr>
        <w:spacing w:line="341" w:lineRule="auto"/>
        <w:rPr>
          <w:color w:val="auto"/>
        </w:rPr>
      </w:pPr>
      <w:r>
        <w:rPr>
          <w:color w:val="auto"/>
        </w:rPr>
        <w:t>(1) Căn hộ chung cư thương mại</w:t>
      </w:r>
    </w:p>
    <w:p w:rsidR="00764EB5" w:rsidRDefault="00DF13CC" w:rsidP="00021C6B">
      <w:pPr>
        <w:spacing w:line="341" w:lineRule="auto"/>
        <w:rPr>
          <w:color w:val="auto"/>
        </w:rPr>
      </w:pPr>
      <w:r>
        <w:rPr>
          <w:color w:val="auto"/>
        </w:rPr>
        <w:t>Căn hộ thương mại là loại hình phổ biến nhất, do các doanh nghiệp phát triển và phân phối theo giá thị trường. Phân khúc này được chia thành: bình dân, trung cấp, cao cấp và hạng sang, dựa trên các tiêu chí vị trí, chất lượng xây dựng và hệ thống tiện ích.</w:t>
      </w:r>
    </w:p>
    <w:p w:rsidR="00764EB5" w:rsidRDefault="00DF13CC" w:rsidP="00021C6B">
      <w:pPr>
        <w:spacing w:line="341" w:lineRule="auto"/>
        <w:rPr>
          <w:color w:val="auto"/>
        </w:rPr>
      </w:pPr>
      <w:r>
        <w:rPr>
          <w:color w:val="auto"/>
        </w:rPr>
        <w:t>Tại TP. Hồ Chí Minh, trong năm 2025 giá căn hộ trung bình trên thị trường sơ cấp đã tăng lên mức gần 80–120 triệu đồng/m², tùy vị trí và mức độ hoàn thiện dự án trong khu vực lõi hoặc vùng tiếp giáp (đông – tây thành phố). Các dự án cao cấp và hạng sang có mức giá chào bán từ 100 triệu đến trên 150 triệu đồng/m², thậm chí đạt kỷ lục trên 200 triệu đồng/m² tại những vị trí đắc địa. Trung bình giá căn hộ tại TP. HCM trong Quý 4/2024 đã đạt khoảng 91 triệu đồng/m², ghi nhận mức tăng 33% theo năm và tiếp tục duy trì xu hướng tăng trong năm 2025.</w:t>
      </w:r>
    </w:p>
    <w:p w:rsidR="00764EB5" w:rsidRDefault="00DF13CC" w:rsidP="00021C6B">
      <w:pPr>
        <w:spacing w:line="341" w:lineRule="auto"/>
        <w:rPr>
          <w:color w:val="auto"/>
        </w:rPr>
      </w:pPr>
      <w:r>
        <w:rPr>
          <w:color w:val="auto"/>
        </w:rPr>
        <w:t>Cơ cấu nguồn cung cho thấy phân khúc bình dân và giá thấp gần như không còn, bởi nguồn cung căn hộ dưới 50 triệu đồng/m² gần như biến mất và chỉ chiếm rất nhỏ trong toàn bộ giao dịch. Điều này phản ánh xu hướng đẩy mạnh phân khúc trung – cao cấp, nhưng đồng thời gây ra áp lực lớn đối với người mua ở thực có thu nhập trung bình.</w:t>
      </w:r>
    </w:p>
    <w:p w:rsidR="00764EB5" w:rsidRDefault="00DF13CC" w:rsidP="00021C6B">
      <w:pPr>
        <w:spacing w:line="341" w:lineRule="auto"/>
        <w:rPr>
          <w:color w:val="auto"/>
        </w:rPr>
      </w:pPr>
      <w:r>
        <w:rPr>
          <w:color w:val="auto"/>
        </w:rPr>
        <w:t>Tại các tỉnh vệ tinh như Bình Dương và Đồng Nai, giá căn hộ cũng đã tăng rõ rệt theo đà tăng của thị trường TP. HCM, phổ biến trong khoảng 50–80 triệu đồng/m² ở các dự án mới hoặc các khu vực kết nối tốt với trung tâm đô thị. Việc giá đất nền tăng kéo theo giá căn hộ tại các đô thị như Thuận An, Dĩ An, Biên Hòa cũng xác lập mặt bằng cao hơn trước đây (so với khoảng 30–40 triệu đồng/m² vài năm trước).</w:t>
      </w:r>
    </w:p>
    <w:p w:rsidR="00764EB5" w:rsidRDefault="00DF13CC" w:rsidP="00021C6B">
      <w:pPr>
        <w:spacing w:line="341" w:lineRule="auto"/>
        <w:rPr>
          <w:color w:val="auto"/>
        </w:rPr>
      </w:pPr>
      <w:r>
        <w:rPr>
          <w:color w:val="auto"/>
        </w:rPr>
        <w:lastRenderedPageBreak/>
        <w:t>Trong khi đó tại Bà Rịa – Vũng Tàu, thị trường thương mại vẫn duy trì mức giá cạnh tranh hơn so với TP. HCM và các đô thị vệ tinh, với mức trung bình khoảng 40–70 triệu đồng/m² đối với các dự án phục vụ ở thực, và có thể cao hơn đối với các sản phẩm ven biển hoặc tiện ích cao cấp.</w:t>
      </w:r>
    </w:p>
    <w:p w:rsidR="00764EB5" w:rsidRDefault="00DF13CC" w:rsidP="00296D82">
      <w:pPr>
        <w:spacing w:line="365" w:lineRule="auto"/>
        <w:rPr>
          <w:i/>
          <w:iCs/>
          <w:color w:val="auto"/>
        </w:rPr>
      </w:pPr>
      <w:r>
        <w:rPr>
          <w:i/>
          <w:iCs/>
          <w:color w:val="auto"/>
        </w:rPr>
        <w:t>(2) Căn hộ nhà ở xã hội</w:t>
      </w:r>
    </w:p>
    <w:p w:rsidR="00764EB5" w:rsidRDefault="00DF13CC" w:rsidP="00296D82">
      <w:pPr>
        <w:spacing w:line="365" w:lineRule="auto"/>
        <w:rPr>
          <w:color w:val="auto"/>
        </w:rPr>
      </w:pPr>
      <w:r>
        <w:rPr>
          <w:color w:val="auto"/>
        </w:rPr>
        <w:t>Căn hộ xã hội là phân khúc được Nhà nước hỗ trợ cho các nhóm thu nhập thấp như công nhân, người lao động có thu nhập không ổn định và cán bộ viên chức. Tại ĐNB, nhu cầu phân khúc này đặc biệt lớn do lực lượng lao động nhập cư đông đúc. Tuy nhiên, nguồn cung căn hộ xã hội ít ỏi và giảm dần, chiếm tỷ lệ rất nhỏ so với tổng nguồn cung chung cư, khiến phần lớn người có thu nhập thấp phải lựa chọn thuê nhà hoặc mua căn hộ thương mại nhỏ lẻ (với mức giá vẫn cao so với thu nhập).</w:t>
      </w:r>
    </w:p>
    <w:p w:rsidR="00764EB5" w:rsidRDefault="00DF13CC" w:rsidP="00296D82">
      <w:pPr>
        <w:spacing w:line="365" w:lineRule="auto"/>
        <w:rPr>
          <w:color w:val="auto"/>
        </w:rPr>
      </w:pPr>
      <w:r>
        <w:rPr>
          <w:color w:val="auto"/>
        </w:rPr>
        <w:t>Tình trạng thiếu hụt nguồn cung ở phân khúc này càng khiến cho vai trò của nhà ở xã hội trở nên quan trọng trong các chính sách phát triển đô thị, và là một trong những thách thức lớn đối với mục tiêu giảm thiếu hụt nhà ở cho đa số dân cư đô thị.</w:t>
      </w:r>
    </w:p>
    <w:p w:rsidR="00764EB5" w:rsidRDefault="00DF13CC" w:rsidP="00296D82">
      <w:pPr>
        <w:spacing w:line="365" w:lineRule="auto"/>
        <w:rPr>
          <w:i/>
          <w:iCs/>
          <w:color w:val="auto"/>
        </w:rPr>
      </w:pPr>
      <w:r>
        <w:rPr>
          <w:i/>
          <w:iCs/>
          <w:color w:val="auto"/>
        </w:rPr>
        <w:t>(3) Officetel và căn hộ dịch vụ</w:t>
      </w:r>
    </w:p>
    <w:p w:rsidR="00764EB5" w:rsidRDefault="00DF13CC" w:rsidP="00296D82">
      <w:pPr>
        <w:spacing w:line="365" w:lineRule="auto"/>
        <w:rPr>
          <w:color w:val="auto"/>
        </w:rPr>
      </w:pPr>
      <w:r>
        <w:rPr>
          <w:color w:val="auto"/>
        </w:rPr>
        <w:t>Officetel – loại hình căn hộ tích hợp không gian làm việc và sinh hoạt – từng được coi là giải pháp linh hoạt cho doanh nghiệp vừa và nhỏ và chuyên gia, nhưng đang suy giảm do vướng pháp lý về thời hạn sở hữu và mục đích sử dụng. Hiện nay, loại hình này chủ yếu tồn tại tại các vị trí trung tâm TP. Hồ Chí Minh, nhưng thị phần nhỏ và khó phát triển bền vững khi nhu cầu dịch vụ linh hoạt (co-working, văn phòng nhỏ) thay đổi theo chu kỳ thị trường.</w:t>
      </w:r>
    </w:p>
    <w:p w:rsidR="00764EB5" w:rsidRPr="00762314" w:rsidRDefault="00DF13CC" w:rsidP="00296D82">
      <w:pPr>
        <w:spacing w:line="365" w:lineRule="auto"/>
        <w:rPr>
          <w:color w:val="auto"/>
          <w:spacing w:val="-4"/>
        </w:rPr>
      </w:pPr>
      <w:r w:rsidRPr="00762314">
        <w:rPr>
          <w:color w:val="auto"/>
          <w:spacing w:val="-4"/>
        </w:rPr>
        <w:t>Căn hộ dịch vụ (serviced apartment) vẫn phát triển, đặc biệt tại TP. Hồ Chí Minh nhằm phục vụ khách thuê chuyên gia nước ngoài, song đây chủ yếu là phân khúc cho thuê dài hạn và bán lại chỉ đóng vai trò phụ trợ cho thị trường nhà ở truyền thống.</w:t>
      </w:r>
    </w:p>
    <w:p w:rsidR="00764EB5" w:rsidRDefault="00DF13CC" w:rsidP="003D6B28">
      <w:pPr>
        <w:rPr>
          <w:i/>
          <w:iCs/>
          <w:color w:val="auto"/>
        </w:rPr>
      </w:pPr>
      <w:r>
        <w:rPr>
          <w:i/>
          <w:iCs/>
          <w:color w:val="auto"/>
        </w:rPr>
        <w:t>(4) Condotel và căn hộ nghỉ dưỡng</w:t>
      </w:r>
    </w:p>
    <w:p w:rsidR="00764EB5" w:rsidRDefault="00DF13CC" w:rsidP="00296D82">
      <w:pPr>
        <w:spacing w:line="343" w:lineRule="auto"/>
        <w:rPr>
          <w:color w:val="auto"/>
        </w:rPr>
      </w:pPr>
      <w:r>
        <w:rPr>
          <w:color w:val="auto"/>
        </w:rPr>
        <w:t xml:space="preserve">Đối với các đô thị có hoạt động du lịch, căn hộ nghỉ dưỡng (condotel) và các hình thức khai thác lưu trú ngắn hạn tạo ra một phân khúc khác với căn hộ chung cư thương mại dùng để ở. Do khác biệt về công năng, chế độ pháp lý và mục đích sử dụng, luận án không gộp condotel vào đối tượng nghiên cứu và không sử dụng biến </w:t>
      </w:r>
      <w:r>
        <w:rPr>
          <w:color w:val="auto"/>
        </w:rPr>
        <w:lastRenderedPageBreak/>
        <w:t>động của phân khúc nghỉ dưỡng để suy diễn trực tiếp về hành vi mua căn hộ chung cư thương mại. Nội dung này chỉ được xem như bối cảnh thị trường có thể ảnh hưởng đến kỳ vọng đầu tư của một bộ phận khách hàng.</w:t>
      </w:r>
    </w:p>
    <w:p w:rsidR="00764EB5" w:rsidRDefault="00DF13CC" w:rsidP="00296D82">
      <w:pPr>
        <w:spacing w:line="343" w:lineRule="auto"/>
        <w:rPr>
          <w:color w:val="auto"/>
        </w:rPr>
      </w:pPr>
      <w:r>
        <w:rPr>
          <w:color w:val="auto"/>
        </w:rPr>
        <w:t>Condotel hiện vẫn tồn tại ở thị trường ven biển nhưng với vai trò chuyển đổi chức năng nhiều hơn là sản phẩm đầu tư ngắn hạn.</w:t>
      </w:r>
    </w:p>
    <w:p w:rsidR="00764EB5" w:rsidRDefault="00DF13CC" w:rsidP="00296D82">
      <w:pPr>
        <w:spacing w:line="343" w:lineRule="auto"/>
        <w:rPr>
          <w:i/>
          <w:iCs/>
          <w:color w:val="auto"/>
        </w:rPr>
      </w:pPr>
      <w:r>
        <w:rPr>
          <w:i/>
          <w:iCs/>
          <w:color w:val="auto"/>
        </w:rPr>
        <w:t>(5) Phân loại theo diện tích và thiết kế</w:t>
      </w:r>
    </w:p>
    <w:p w:rsidR="00764EB5" w:rsidRDefault="00DF13CC" w:rsidP="00296D82">
      <w:pPr>
        <w:spacing w:line="343" w:lineRule="auto"/>
        <w:rPr>
          <w:color w:val="auto"/>
        </w:rPr>
      </w:pPr>
      <w:r>
        <w:rPr>
          <w:color w:val="auto"/>
        </w:rPr>
        <w:t>Ngoài phân loại theo mục đích sử dụng và phân khúc giá, căn hộ chung cư còn được phân loại theo diện tích và kết cấu thiết kế. Nhóm căn hộ nhỏ và vừa (45–70 m², 1–2 phòng ngủ) vẫn chiếm ưu thế trong toàn vùng do phù hợp với khả năng chi trả của các hộ gia đình trẻ và nhu cầu đầu tư nhỏ lẻ. Trong khi đó, căn hộ diện tích lớn trên 100 m² thường xuất hiện tại các dự án cao cấp phục vụ hộ gia đình có thu nhập cao hoặc người mua để ở lâu dài trong môi trường sống cao cấp.</w:t>
      </w:r>
    </w:p>
    <w:p w:rsidR="00764EB5" w:rsidRDefault="00DF13CC" w:rsidP="00296D82">
      <w:pPr>
        <w:spacing w:line="343" w:lineRule="auto"/>
        <w:rPr>
          <w:color w:val="auto"/>
          <w:spacing w:val="2"/>
        </w:rPr>
      </w:pPr>
      <w:r>
        <w:rPr>
          <w:color w:val="auto"/>
          <w:spacing w:val="2"/>
        </w:rPr>
        <w:t>Xu hướng thiết kế mới đã chuyển dịch theo hướng ưu tiên không gian sống linh hoạt (như khu vực làm việc tại nhà, ban công rộng, hệ thống tiện ích cộng đồng) nhằm đáp ứng kỳ vọng ngày càng cao về môi trường sống sau đại dịch COVID-19.</w:t>
      </w:r>
    </w:p>
    <w:p w:rsidR="00764EB5" w:rsidRDefault="00DF13CC" w:rsidP="00296D82">
      <w:pPr>
        <w:spacing w:line="343" w:lineRule="auto"/>
        <w:rPr>
          <w:color w:val="auto"/>
        </w:rPr>
      </w:pPr>
      <w:r>
        <w:rPr>
          <w:color w:val="auto"/>
        </w:rPr>
        <w:t>Cơ cấu loại hình và phân khúc thị trường căn hộ chung cư tại Đông Nam Bộ vừa phản ánh đặc thù phát triển kinh tế - xã hội và mức thu nhập dân cư vùng, vừa cho thấy sự phân hóa sâu sắc về giá và mục đích sử dụng. Sự biến động giá mạnh, đặc biệt tại các thị trường lõi như TP. Hồ Chí Minh, đã thay đổi tiêu chí ra quyết định mua của người tiêu dùng: từ việc chỉ cân nhắc vị trí và tiện ích, nay phải đánh giá sâu vào khả năng chi trả, giá trị gia tăng trong tương lai và sự phù hợp với phân khúc tài chính cá nhân.</w:t>
      </w:r>
    </w:p>
    <w:p w:rsidR="00764EB5" w:rsidRDefault="00DF13CC" w:rsidP="00296D82">
      <w:pPr>
        <w:spacing w:line="343" w:lineRule="auto"/>
        <w:rPr>
          <w:color w:val="auto"/>
        </w:rPr>
      </w:pPr>
      <w:r>
        <w:rPr>
          <w:color w:val="auto"/>
        </w:rPr>
        <w:t>Xu hướng phân hóa này đặt ra thách thức đối với chính sách nhà ở và thị trường, đồng thời mở ra cơ hội nghiên cứu sâu hơn về mối quan hệ giữa giá nhà tăng nhanh và hành vi mua của từng nhóm khách hàng, nhất là nhóm thu nhập trung bình và thấp trong bối cảnh đô thị hóa gia tăng.</w:t>
      </w:r>
    </w:p>
    <w:p w:rsidR="00764EB5" w:rsidRDefault="00DF13CC" w:rsidP="00021C6B">
      <w:pPr>
        <w:pStyle w:val="Heading4"/>
      </w:pPr>
      <w:r>
        <w:t>4.1.2..2. Tiện ích nội khu và ngoại khu của chung cư</w:t>
      </w:r>
    </w:p>
    <w:p w:rsidR="00764EB5" w:rsidRDefault="00DF13CC" w:rsidP="003D6B28">
      <w:pPr>
        <w:rPr>
          <w:color w:val="auto"/>
        </w:rPr>
      </w:pPr>
      <w:r>
        <w:rPr>
          <w:color w:val="auto"/>
        </w:rPr>
        <w:t xml:space="preserve">Tiện ích đi kèm là một trong những đặc trưng nổi bật nhất của loại hình nhà ở chung cư hiện đại và ngày càng giữ vai trò quan trọng trong quyết định mua của người tiêu dùng. Không chỉ đáp ứng nhu cầu sinh hoạt cơ bản, hệ thống tiện ích còn </w:t>
      </w:r>
      <w:r>
        <w:rPr>
          <w:color w:val="auto"/>
        </w:rPr>
        <w:lastRenderedPageBreak/>
        <w:t>góp phần định hình phong cách sống, chất lượng sống và giá trị dài hạn của dự án. Trong bối cảnh đô thị hóa nhanh tại khu vực Đông Nam Bộ, tiện ích nội khu và ngoại khu đã trở thành yếu tố cạnh tranh cốt lõi giữa các dự án chung cư.</w:t>
      </w:r>
    </w:p>
    <w:p w:rsidR="00764EB5" w:rsidRDefault="00DF13CC" w:rsidP="003D6B28">
      <w:pPr>
        <w:rPr>
          <w:color w:val="auto"/>
        </w:rPr>
      </w:pPr>
      <w:r>
        <w:rPr>
          <w:b/>
          <w:bCs/>
          <w:color w:val="auto"/>
        </w:rPr>
        <w:t>Tiện ích nội khu.</w:t>
      </w:r>
      <w:r>
        <w:rPr>
          <w:color w:val="auto"/>
        </w:rPr>
        <w:t xml:space="preserve"> Tiện ích nội khu là các hạng mục được bố trí trong phạm vi dự án chung cư, phục vụ trực tiếp nhu cầu sinh hoạt, giải trí và an ninh của cư dân. Ở phân khúc phổ thông, các dự án thường được trang bị những tiện ích thiết yếu như hầm giữ xe, sảnh lễ tân, thang máy, hệ thống camera an ninh 24/7, phòng sinh hoạt cộng đồng, phòng tập thể dục cơ bản và hồ bơi quy mô nhỏ. Những tiện ích này nhằm đáp ứng nhu cầu sinh hoạt tối thiểu và đảm bảo an toàn cho cư dân.</w:t>
      </w:r>
    </w:p>
    <w:p w:rsidR="00764EB5" w:rsidRDefault="00DF13CC" w:rsidP="003D6B28">
      <w:pPr>
        <w:rPr>
          <w:color w:val="auto"/>
        </w:rPr>
      </w:pPr>
      <w:r>
        <w:rPr>
          <w:color w:val="auto"/>
        </w:rPr>
        <w:t>Đối với phân khúc trung và cao cấp, hệ thống tiện ích nội khu được mở rộng và đa dạng hơn, bao gồm siêu thị mini, khu vui chơi trẻ em, khu thể thao đa năng, công viên nội bộ, vườn dạo bộ, quán cà phê, thư viện hoặc không gian sinh hoạt chung. Ở các dự án hạng sang, nhiều chủ đầu tư phát triển mô hình “khu phức hợp khép kín”, tích hợp trung tâm thương mại, trường mầm non, phòng khám, spa, khu chăm sóc sức khỏe, rạp chiếu phim hoặc clubhouse riêng dành cho cư dân.</w:t>
      </w:r>
    </w:p>
    <w:p w:rsidR="00764EB5" w:rsidRDefault="00DF13CC" w:rsidP="003D6B28">
      <w:pPr>
        <w:rPr>
          <w:color w:val="auto"/>
        </w:rPr>
      </w:pPr>
      <w:r>
        <w:rPr>
          <w:color w:val="auto"/>
        </w:rPr>
        <w:t xml:space="preserve">Một số dự án tiêu biểu tại </w:t>
      </w:r>
      <w:r w:rsidR="008C6F28">
        <w:rPr>
          <w:color w:val="auto"/>
        </w:rPr>
        <w:t xml:space="preserve">thành </w:t>
      </w:r>
      <w:r>
        <w:rPr>
          <w:color w:val="auto"/>
        </w:rPr>
        <w:t>phố Hồ Chí Minh như Vinhomes Central Park được nhận diện rộng rãi nhờ công viên ven sông quy mô lớn và hệ sinh thái tiện ích đồng bộ; tại khu vực Thảo Điền (thành phố Thủ Đức), nhiều chung cư cao cấp tích hợp trung tâm thương mại và trường học quốc tế, đáp ứng nhu cầu của nhóm cư dân thu nhập cao và người nước ngoài. Tại Bà Rịa – Vũng Tàu, các dự án chung cư cao cấp gần đây được đầu tư theo tiêu chuẩn quản lý quốc tế, chú trọng hồ bơi vô cực, không gian nghỉ dưỡng và dịch vụ vận hành chuyên nghiệp nhằm thu hút chuyên gia và người mua thứ hai.</w:t>
      </w:r>
    </w:p>
    <w:p w:rsidR="00764EB5" w:rsidRDefault="00DF13CC" w:rsidP="003D6B28">
      <w:pPr>
        <w:rPr>
          <w:color w:val="auto"/>
        </w:rPr>
      </w:pPr>
      <w:r>
        <w:rPr>
          <w:color w:val="auto"/>
        </w:rPr>
        <w:t>Xu hướng phát triển nổi bật trong những năm gần đây là mô hình “all-in-one” - tích hợp tối đa tiện ích ngay trong khu ở. Xu hướng này được thúc đẩy mạnh sau đại dịch COVID-19, khi cư dân có xu hướng ưu tiên không gian sống khép kín, hạn chế di chuyển và mong muốn tiếp cận các dịch vụ thiết yếu ngay trong nội khu. Do đó, tiện ích nội khu không chỉ là giá trị cộng thêm mà đã trở thành yếu tố then chốt tác động đến cảm nhận giá trị và quyết định mua căn hộ.</w:t>
      </w:r>
    </w:p>
    <w:p w:rsidR="00764EB5" w:rsidRDefault="00DF13CC" w:rsidP="003D6B28">
      <w:pPr>
        <w:rPr>
          <w:color w:val="auto"/>
        </w:rPr>
      </w:pPr>
      <w:r>
        <w:rPr>
          <w:color w:val="auto"/>
        </w:rPr>
        <w:lastRenderedPageBreak/>
        <w:t>Tiện ích ngoại khu là hệ thống hạ tầng xã hội và dịch vụ nằm ngoài phạm vi dự án, bao gồm chợ, trung tâm thương mại, trường học, bệnh viện, công viên, các công trình văn hóa – thể thao và hệ thống giao thông kết nối. Chất lượng và mức độ hoàn thiện của tiện ích ngoại khu phụ thuộc lớn vào vị trí của dự án trong cấu trúc đô thị.</w:t>
      </w:r>
    </w:p>
    <w:p w:rsidR="00764EB5" w:rsidRDefault="00DF13CC" w:rsidP="003D6B28">
      <w:pPr>
        <w:rPr>
          <w:color w:val="auto"/>
        </w:rPr>
      </w:pPr>
      <w:r>
        <w:rPr>
          <w:color w:val="auto"/>
        </w:rPr>
        <w:t>Tại khu vực trung tâm thành phố Hồ Chí Minh và các quận nội đô cũ, các dự án chung cư được thừa hưởng hệ thống tiện ích ngoại khu đã phát triển đầy đủ, với khả năng tiếp cận nhanh đến các trung tâm thương mại lớn, bệnh viện tuyến trên, trường học chất lượng cao và các không gian công cộng. Ở các khu đô thị mới như Quận 7 và thành phố Thủ Đức cũ, nhờ quy hoạch bài bản và đầu tư đồng bộ, các khu vực này đã hình thành hệ sinh thái tiện ích hiện đại với trung tâm mua sắm, bệnh viện quốc tế, trường học song ngữ và không gian xanh, tạo lợi thế rõ rệt cho các dự án chung cư trong khu vực.</w:t>
      </w:r>
    </w:p>
    <w:p w:rsidR="00764EB5" w:rsidRDefault="00DF13CC" w:rsidP="003D6B28">
      <w:pPr>
        <w:rPr>
          <w:color w:val="auto"/>
        </w:rPr>
      </w:pPr>
      <w:r>
        <w:rPr>
          <w:color w:val="auto"/>
        </w:rPr>
        <w:t xml:space="preserve">Ngược lại, các dự án chung cư tại vùng ven hoặc các đô thị vệ tinh mới phát triển thường đối mặt với sự thiếu hụt tiện ích ngoại khu trong giai đoạn đầu. Thực tế cho thấy nhiều dự án tại Dĩ An, Thuận An (Bình Dương cũ) hay một </w:t>
      </w:r>
      <w:r>
        <w:rPr>
          <w:color w:val="auto"/>
          <w:spacing w:val="-4"/>
        </w:rPr>
        <w:t>số khu vực ngoại thành Biên Hòa (Đồng Nai) khi mới bàn giao còn hạn chế về dịch vụ mua sắm, y tế và giáo dục, buộc cư dân phải di chuyển xa để đáp ứng nhu cầu sinh hoạt. Tuy nhiên, cùng với quá trình đô thị hóa và đầu tư hạ tầng, các địa phương này đã dần bổ sung trường học, bệnh viện, trung tâm thương mại và công viên công cộng. Ví dụ, Thành phố mới Bình Dương từ một khu vực thưa dân nay đã hình thành trung tâm hành chính, đại học, công viên và các khu thương mại, góp phần cải thiện đáng kể chất lượng sống của cư dân chung cư.</w:t>
      </w:r>
    </w:p>
    <w:p w:rsidR="00764EB5" w:rsidRDefault="00DF13CC" w:rsidP="003D6B28">
      <w:pPr>
        <w:rPr>
          <w:color w:val="auto"/>
        </w:rPr>
      </w:pPr>
      <w:r>
        <w:rPr>
          <w:color w:val="auto"/>
        </w:rPr>
        <w:t>Bên cạnh tiện ích xã hội, hạ tầng kỹ thuật ngoại khu như điện, nước, viễn thông và giao thông kết nối liên vùng cũng đóng vai trò quan trọng trong việc nâng cao giá trị và sức hấp dẫn của dự án chung cư, đặc biệt tại các khu vực vệ tinh gắn với thành phố Hồ Chí Minh.</w:t>
      </w:r>
    </w:p>
    <w:p w:rsidR="00764EB5" w:rsidRDefault="00DF13CC" w:rsidP="00296D82">
      <w:pPr>
        <w:spacing w:line="343" w:lineRule="auto"/>
        <w:rPr>
          <w:color w:val="auto"/>
        </w:rPr>
      </w:pPr>
      <w:r>
        <w:rPr>
          <w:color w:val="auto"/>
        </w:rPr>
        <w:t xml:space="preserve">Tổng thể, tiện ích nội khu và ngoại khu là yếu tố tạo nên sự khác biệt căn bản giữa chung cư và nhà ở truyền thống. Chung cư mang lại trải nghiệm sống hiện đại, an toàn và tiện nghi thông qua hệ thống tiện ích tích hợp, đổi lại cư dân phải chấp </w:t>
      </w:r>
      <w:r>
        <w:rPr>
          <w:color w:val="auto"/>
        </w:rPr>
        <w:lastRenderedPageBreak/>
        <w:t>nhận các chi phí quản lý và bảo trì định kỳ. Trong bối cảnh đô thị hóa mạnh mẽ tại Đông Nam Bộ, khi quỹ đất ngày càng hạn chế và áp lực giao thông gia tăng, lợi thế về tiện ích và khả năng đáp ứng nhu cầu sống “tại chỗ” đã khiến chung cư trở thành lựa chọn ngày càng hấp dẫn so với nhà ở riêng lẻ. Đồng thời, mức độ đầy đủ và chất lượng của tiện ích cũng đang trở thành một trong những nhân tố quan trọng chi phối hành vi và quyết định mua căn hộ của người tiêu dùng đô thị hiện nay.</w:t>
      </w:r>
    </w:p>
    <w:p w:rsidR="00764EB5" w:rsidRDefault="00DF13CC" w:rsidP="00021C6B">
      <w:pPr>
        <w:pStyle w:val="Heading4"/>
      </w:pPr>
      <w:r>
        <w:t>4.1.2.3. Môi trường sống và chất lượng cuộc sống tại chung cư</w:t>
      </w:r>
    </w:p>
    <w:p w:rsidR="00764EB5" w:rsidRDefault="00DF13CC" w:rsidP="00296D82">
      <w:pPr>
        <w:spacing w:line="343" w:lineRule="auto"/>
        <w:rPr>
          <w:color w:val="auto"/>
        </w:rPr>
      </w:pPr>
      <w:r>
        <w:rPr>
          <w:color w:val="auto"/>
        </w:rPr>
        <w:t>Môi trường sống và chất lượng cuộc sống là những tiêu chí ngày càng được người mua nhà tại khu vực Đông Nam Bộ coi trọng, đặc biệt trong bối cảnh đô thị hóa nhanh, mật độ dân cư cao và áp lực môi trường ngày càng gia tăng. Đối với loại hình chung cư, môi trường sống không chỉ chịu tác động từ điều kiện tự nhiên mà còn phụ thuộc mạnh mẽ vào thiết kế kiến trúc, quy hoạch dự án, chất lượng quản lý vận hành và đặc điểm cộng đồng cư dân.</w:t>
      </w:r>
    </w:p>
    <w:p w:rsidR="00764EB5" w:rsidRDefault="00DF13CC" w:rsidP="00296D82">
      <w:pPr>
        <w:spacing w:line="343" w:lineRule="auto"/>
        <w:rPr>
          <w:color w:val="auto"/>
        </w:rPr>
      </w:pPr>
      <w:r>
        <w:rPr>
          <w:color w:val="auto"/>
        </w:rPr>
        <w:t>Về điều kiện tự nhiên, Đông Nam Bộ nằm trong vùng khí hậu nhiệt đới gió mùa nóng ẩm, nhiệt độ cao quanh năm và lượng mưa lớn, tập trung chủ yếu trong giai đoạn từ tháng 5 đến tháng 11. Đặc điểm khí hậu này đặt ra yêu cầu cao đối với thiết kế và xây dựng chung cư, đặc biệt là khả năng thông gió, chiếu sáng tự nhiên, chống thấm và thoát nước. Trong những năm gần đây, nhiều dự án chung cư tại thành phố Hồ Chí Minh, Bình Dương và Đồng Nai đã chú trọng hơn đến các giải pháp kiến trúc thích ứng khí hậu như bố trí căn hộ hai mặt thoáng, hành lang mở, ban công rộng, lam chắn nắng và sử dụng vật liệu kính cách nhiệt. Một số dự án trung – cao cấp còn ứng dụng các giải pháp công nghệ xanh như mái xanh, vườn treo, hệ thống thu gom và tái sử dụng nước mưa, pin năng lượng mặt trời cho khu vực công cộng nhằm cải thiện vi khí hậu và giảm chi phí vận hành.</w:t>
      </w:r>
    </w:p>
    <w:p w:rsidR="00764EB5" w:rsidRDefault="00DF13CC" w:rsidP="00296D82">
      <w:pPr>
        <w:spacing w:line="343" w:lineRule="auto"/>
        <w:rPr>
          <w:color w:val="auto"/>
        </w:rPr>
      </w:pPr>
      <w:r>
        <w:rPr>
          <w:color w:val="auto"/>
        </w:rPr>
        <w:t xml:space="preserve">So với nhà phố truyền thống, chung cư – đặc biệt là căn hộ ở tầng cao – có lợi thế nhất định về môi trường vật lý như tầm nhìn thoáng, ít bị ảnh hưởng bởi bụi, tiếng ồn giao thông và côn trùng. Các nghiên cứu về bất động sản đô thị cho thấy yếu tố cảnh quan, mảng xanh và chất lượng môi trường xung quanh có mối liên hệ chặt chẽ với giá trị bất động sản và tính thanh khoản. Do đó, nhiều chủ đầu tư tại ĐNB ngày càng chú trọng phát triển không gian xanh nội khu, hồ cảnh quan và công viên. Những dự án như Celadon City (thành phố Hồ Chí Minh) với công viên nội khu quy mô lớn hay EcoLakes Mỹ Phước (Bình Dương) theo định hướng sinh </w:t>
      </w:r>
      <w:r>
        <w:rPr>
          <w:color w:val="auto"/>
        </w:rPr>
        <w:lastRenderedPageBreak/>
        <w:t>thái là ví dụ cho xu hướng nâng cao chất lượng môi trường sống nhằm tạo lợi thế cạnh tranh và gia tăng giá trị lâu dài cho dự án.</w:t>
      </w:r>
    </w:p>
    <w:p w:rsidR="00764EB5" w:rsidRDefault="00DF13CC" w:rsidP="003D6B28">
      <w:pPr>
        <w:rPr>
          <w:color w:val="auto"/>
        </w:rPr>
      </w:pPr>
      <w:r>
        <w:rPr>
          <w:color w:val="auto"/>
        </w:rPr>
        <w:t>Tuy nhiên, chung cư cũng tồn tại những hạn chế nhất định về môi trường sống, đặc biệt tại các dự án giá rẻ hoặc phát triển với mật độ xây dựng cao. Việc thiếu không gian xanh, diện tích sinh hoạt chung hạn chế và số lượng căn hộ lớn trong một tòa nhà có thể gây cảm giác chật chội, giảm mức độ riêng tư và ảnh hưởng đến trải nghiệm sống của cư dân. Những yếu tố này nếu không được kiểm soát tốt sẽ tác động tiêu cực đến cảm nhận chất lượng cuộc sống và sự hài lòng của người ở.</w:t>
      </w:r>
    </w:p>
    <w:p w:rsidR="00764EB5" w:rsidRDefault="00DF13CC" w:rsidP="003D6B28">
      <w:pPr>
        <w:rPr>
          <w:color w:val="auto"/>
        </w:rPr>
      </w:pPr>
      <w:r>
        <w:rPr>
          <w:color w:val="auto"/>
        </w:rPr>
        <w:t>Về khía cạnh xã hội, chung cư tại Đông Nam Bộ hình thành các cộng đồng cư dân đa dạng về nghề nghiệp, thu nhập, độ tuổi và nguồn gốc địa lý, bao gồm người địa phương, người nhập cư từ các tỉnh khác và một bộ phận người nước ngoài. Nhìn chung, an ninh trật tự tại chung cư thường được đánh giá cao hơn so với khu nhà ở thấp tầng nhờ hệ thống bảo vệ, kiểm soát ra vào và camera giám sát. Điều này tạo cảm giác an toàn – một yếu tố tâm lý quan trọng trong quyết định lựa chọn nơi ở, đặc biệt đối với các gia đình trẻ.</w:t>
      </w:r>
    </w:p>
    <w:p w:rsidR="00764EB5" w:rsidRDefault="00DF13CC" w:rsidP="003D6B28">
      <w:pPr>
        <w:rPr>
          <w:color w:val="auto"/>
        </w:rPr>
      </w:pPr>
      <w:r>
        <w:rPr>
          <w:color w:val="auto"/>
        </w:rPr>
        <w:t>Bên cạnh đó, an toàn kỹ thuật, đặc biệt là phòng cháy chữa cháy (PCCC), là vấn đề được người mua quan tâm ngày càng nhiều. Các quy định pháp luật hiện hành yêu cầu nghiêm ngặt đối với công trình cao tầng, song thực tế cho thấy khi xảy ra sự cố, việc thoát nạn tại chung cư phức tạp hơn so với nhà thấp tầng. Những sự kiện nghiêm trọng trong quá khứ đã làm gia tăng mức độ nhạy cảm của người tiêu dùng đối với tiêu chí an toàn, khiến các yếu tố như hệ thống phòng cháy chữa cháy, lối thoát hiểm, chất lượng kết cấu và công tác quản lý vận hành trở thành tiêu chí quan trọng khi đánh giá và lựa chọn căn hộ.</w:t>
      </w:r>
    </w:p>
    <w:p w:rsidR="00764EB5" w:rsidRDefault="00DF13CC" w:rsidP="003D6B28">
      <w:pPr>
        <w:rPr>
          <w:color w:val="auto"/>
        </w:rPr>
      </w:pPr>
      <w:r>
        <w:rPr>
          <w:color w:val="auto"/>
        </w:rPr>
        <w:t xml:space="preserve">Một yếu tố khác ảnh hưởng trực tiếp đến chất lượng cuộc sống tại chung cư là văn hóa cộng đồng và mức độ gắn kết xã hội. Việc chung sống trong không gian tập thể đòi hỏi cư dân phải tuân thủ nội quy chung và có ý thức cộng đồng cao trong sử dụng không gian công cộng, giữ gìn vệ sinh, kiểm soát tiếng ồn và tôn trọng lẫn nhau. Tại các dự án cao cấp hoặc được quản lý chuyên nghiệp, môi trường sống thường văn minh và ổn định hơn. Ngược lại, tại một số chung cư bình dân hoặc mới </w:t>
      </w:r>
      <w:r>
        <w:rPr>
          <w:color w:val="auto"/>
        </w:rPr>
        <w:lastRenderedPageBreak/>
        <w:t>đưa vào sử dụng, vẫn tồn tại các mâu thuẫn liên quan đến quyền lợi tiện ích, quỹ bảo trì, phí dịch vụ hoặc cách thức quản lý, ảnh hưởng đến tâm lý cư dân và hình ảnh dự án.</w:t>
      </w:r>
    </w:p>
    <w:p w:rsidR="00764EB5" w:rsidRDefault="00DF13CC" w:rsidP="003D6B28">
      <w:pPr>
        <w:rPr>
          <w:color w:val="auto"/>
        </w:rPr>
      </w:pPr>
      <w:r>
        <w:rPr>
          <w:color w:val="auto"/>
        </w:rPr>
        <w:t>Ngoài ra, yếu tố văn hóa và tập quán sinh hoạt của người Việt cũng ảnh hưởng đến khả năng thích nghi với môi trường sống chung cư. Một bộ phận người cao tuổi hoặc gia đình nhiều thế hệ vẫn ưa chuộng nhà ở thấp tầng do thói quen sinh hoạt, thờ cúng và nhu cầu không gian riêng. Ngược lại, thế hệ trẻ tại Đông Nam Bộ có xu hướng chấp nhận và ưa thích lối sống chung cư nhờ sự tiện lợi, an toàn và hệ thống dịch vụ đi kèm, coi đây là không gian sống phù hợp với nhịp sống đô thị hiện đại.</w:t>
      </w:r>
    </w:p>
    <w:p w:rsidR="00764EB5" w:rsidRDefault="00DF13CC" w:rsidP="003D6B28">
      <w:pPr>
        <w:rPr>
          <w:color w:val="auto"/>
        </w:rPr>
      </w:pPr>
      <w:r>
        <w:rPr>
          <w:color w:val="auto"/>
        </w:rPr>
        <w:t>Môi trường sống và chất lượng cuộc sống tại chung cư Đông Nam Bộ là kết quả của sự tương tác giữa các yếu tố vật chất và các yếu tố xã hội – tinh thần . Khi các yếu tố này được đảm bảo và hài hòa, chung cư không chỉ đáp ứng nhu cầu ở mà còn góp phần nâng cao chất lượng sống đô thị và thúc đẩy sự phát triển bền vững của toàn vùng.</w:t>
      </w:r>
    </w:p>
    <w:p w:rsidR="00764EB5" w:rsidRDefault="00DF13CC" w:rsidP="00021C6B">
      <w:pPr>
        <w:pStyle w:val="Heading4"/>
      </w:pPr>
      <w:r>
        <w:t>4.1.2.4. Đối tượng khách hàng và hành vi mua nhà chung cư</w:t>
      </w:r>
    </w:p>
    <w:p w:rsidR="00764EB5" w:rsidRDefault="00DF13CC" w:rsidP="003D6B28">
      <w:pPr>
        <w:rPr>
          <w:color w:val="auto"/>
        </w:rPr>
      </w:pPr>
      <w:r>
        <w:rPr>
          <w:color w:val="auto"/>
        </w:rPr>
        <w:t>Thị trường căn hộ chung cư tại khu vực ĐNB là một không gian tiêu dùng bất động sản có tính phân hóa cao, phản ánh rõ nét sự đa dạng về điều kiện kinh tế – xã hội, mức thu nhập, giai đoạn vòng đời hộ gia đình và mục tiêu tài chính của người mua. Xét về động cơ cơ bản, khách hàng trên thị trường này có thể chia thành hai nhóm chủ đạo: nhóm mua để ở thực và nhóm mua với mục đích đầu tư. Tuy nhiên, trên thực tế, ranh giới giữa hai nhóm này không hoàn toàn tách bạch, mà tồn tại nhiều trường hợp giao thoa (vừa ở vừa cho thuê, vừa ở vừa kỳ vọng tăng giá), tạo nên bức tranh hành vi tiêu dùng phức tạp và biến động theo chu kỳ thị trường.</w:t>
      </w:r>
    </w:p>
    <w:p w:rsidR="00764EB5" w:rsidRDefault="00DF13CC" w:rsidP="003D6B28">
      <w:pPr>
        <w:rPr>
          <w:i/>
          <w:iCs/>
          <w:color w:val="auto"/>
        </w:rPr>
      </w:pPr>
      <w:r>
        <w:rPr>
          <w:i/>
          <w:iCs/>
          <w:color w:val="auto"/>
        </w:rPr>
        <w:t>(i) Nhóm khách hàng mua để ở: hành vi tiêu dùng mang tính an cư và giảm thiểu rủi ro</w:t>
      </w:r>
    </w:p>
    <w:p w:rsidR="00764EB5" w:rsidRDefault="00DF13CC" w:rsidP="00296D82">
      <w:pPr>
        <w:spacing w:line="343" w:lineRule="auto"/>
        <w:rPr>
          <w:color w:val="auto"/>
        </w:rPr>
      </w:pPr>
      <w:r>
        <w:rPr>
          <w:color w:val="auto"/>
        </w:rPr>
        <w:t xml:space="preserve">Nhóm mua để ở chiếm tỷ trọng lớn và có vai trò nền tảng trong việc duy trì tính ổn định của thị trường chung cư Đông Nam Bộ, đặc biệt tại thành phố Hồ Chí Minh – đô thị đặc biệt với quy mô dân số trên 9,5 triệu người và tỷ lệ nhập cư cao. Đối tượng chủ yếu trong nhóm này là các hộ gia đình trẻ, cá nhân độc thân có thu </w:t>
      </w:r>
      <w:r>
        <w:rPr>
          <w:color w:val="auto"/>
        </w:rPr>
        <w:lastRenderedPageBreak/>
        <w:t>nhập ổn định, thuộc thế hệ 8x, 9x và đầu 10x, đang trong giai đoạn tích lũy tài sản và hình thành nhu cầu an cư lâu dài.</w:t>
      </w:r>
    </w:p>
    <w:p w:rsidR="00764EB5" w:rsidRDefault="00DF13CC" w:rsidP="00296D82">
      <w:pPr>
        <w:spacing w:line="343" w:lineRule="auto"/>
        <w:rPr>
          <w:color w:val="auto"/>
        </w:rPr>
      </w:pPr>
      <w:r>
        <w:rPr>
          <w:color w:val="auto"/>
        </w:rPr>
        <w:t>Về bản chất hành vi, đây là nhóm khách hàng ra quyết định dựa trên giá trị sử dụng và sự an toàn nhiều hơn là lợi nhuận tài chính. Các tiêu chí ưu tiên thường được sắp xếp theo thứ tự:</w:t>
      </w:r>
    </w:p>
    <w:p w:rsidR="00764EB5" w:rsidRDefault="00DF13CC" w:rsidP="00296D82">
      <w:pPr>
        <w:spacing w:line="343" w:lineRule="auto"/>
        <w:rPr>
          <w:color w:val="auto"/>
        </w:rPr>
      </w:pPr>
      <w:r>
        <w:rPr>
          <w:color w:val="auto"/>
        </w:rPr>
        <w:t>(1) Vị trí và khả năng kết nối giao thông (gần nơi làm việc, trường học, trục đường chính);</w:t>
      </w:r>
    </w:p>
    <w:p w:rsidR="00764EB5" w:rsidRDefault="00DF13CC" w:rsidP="00296D82">
      <w:pPr>
        <w:spacing w:line="343" w:lineRule="auto"/>
        <w:rPr>
          <w:color w:val="auto"/>
        </w:rPr>
      </w:pPr>
      <w:r>
        <w:rPr>
          <w:color w:val="auto"/>
        </w:rPr>
        <w:t>(2) Tính pháp lý và uy tín chủ đầu tư;</w:t>
      </w:r>
    </w:p>
    <w:p w:rsidR="00764EB5" w:rsidRDefault="00DF13CC" w:rsidP="00296D82">
      <w:pPr>
        <w:spacing w:line="343" w:lineRule="auto"/>
        <w:rPr>
          <w:color w:val="auto"/>
        </w:rPr>
      </w:pPr>
      <w:r>
        <w:rPr>
          <w:color w:val="auto"/>
        </w:rPr>
        <w:t>(3) Chất lượng xây dựng, thiết kế và tiện ích phục vụ đời sống hàng ngày;</w:t>
      </w:r>
    </w:p>
    <w:p w:rsidR="00764EB5" w:rsidRDefault="00DF13CC" w:rsidP="00296D82">
      <w:pPr>
        <w:spacing w:line="343" w:lineRule="auto"/>
        <w:rPr>
          <w:color w:val="auto"/>
        </w:rPr>
      </w:pPr>
      <w:r>
        <w:rPr>
          <w:color w:val="auto"/>
        </w:rPr>
        <w:t>(4) Môi trường sống, cộng đồng cư dân và an ninh.</w:t>
      </w:r>
    </w:p>
    <w:p w:rsidR="00764EB5" w:rsidRDefault="00DF13CC" w:rsidP="00296D82">
      <w:pPr>
        <w:spacing w:line="343" w:lineRule="auto"/>
        <w:rPr>
          <w:color w:val="auto"/>
        </w:rPr>
      </w:pPr>
      <w:r>
        <w:rPr>
          <w:color w:val="auto"/>
        </w:rPr>
        <w:t xml:space="preserve">Quá trình ra quyết định mua của nhóm này thường kéo dài, mang tính lý trí và </w:t>
      </w:r>
      <w:r w:rsidRPr="00762314">
        <w:rPr>
          <w:color w:val="auto"/>
          <w:spacing w:val="-2"/>
        </w:rPr>
        <w:t>thận trọng. Người mua có xu hướng thu thập thông tin từ nhiều nguồn (môi giới, người quen, mạng xã hội, diễn đàn bất động sản), so sánh nhiều dự án trong cùng phân khúc và cân nhắc kỹ lưỡng khả năng tài chính dài hạn. Về phương thức thanh toán, đa số kết hợp giữa vốn tự có và vốn vay ngân hàng, do đó rất nhạy cảm với biến động lãi suất và chính sách tín dụng. Thực tế cho thấy, sau giai đoạn thị trường biến động mạnh 2022–2023, nhóm mua để ở càng ưu tiên các dự án đã hoàn thiện hoặc sắp bàn giao, chấp nhận mức giá cao hơn để đổi lấy sự chắc chắn về tiến độ và pháp lý.</w:t>
      </w:r>
    </w:p>
    <w:p w:rsidR="00764EB5" w:rsidRDefault="00DF13CC" w:rsidP="00296D82">
      <w:pPr>
        <w:spacing w:line="343" w:lineRule="auto"/>
        <w:rPr>
          <w:color w:val="auto"/>
        </w:rPr>
      </w:pPr>
      <w:r>
        <w:rPr>
          <w:color w:val="auto"/>
        </w:rPr>
        <w:t>Đáng chú ý, tại thành phố  Hồ Chí Minh đã xuất hiện xu hướng dịch chuyển từ nhà phố trong hẻm nhỏ sang chung cư, nhất là ở các quận nội thành cũ. Động cơ của xu hướng này không chỉ đến từ yếu tố giá đất tăng cao, mà còn từ mong muốn cải thiện môi trường sống, an ninh và tiếp cận tiện ích đồng bộ – cho thấy sự thay đổi trong nhận thức về “chất lượng sống” của cư dân đô thị.</w:t>
      </w:r>
    </w:p>
    <w:p w:rsidR="00764EB5" w:rsidRDefault="00DF13CC" w:rsidP="00296D82">
      <w:pPr>
        <w:spacing w:line="343" w:lineRule="auto"/>
        <w:rPr>
          <w:i/>
          <w:iCs/>
          <w:color w:val="auto"/>
          <w:spacing w:val="-8"/>
        </w:rPr>
      </w:pPr>
      <w:r>
        <w:rPr>
          <w:i/>
          <w:iCs/>
          <w:color w:val="auto"/>
          <w:spacing w:val="-8"/>
        </w:rPr>
        <w:t>(ii) Nhóm khách hàng đầu tư: hành vi nhạy cảm với chu kỳ và kỳ vọng lợi nhuận</w:t>
      </w:r>
    </w:p>
    <w:p w:rsidR="00764EB5" w:rsidRPr="00762314" w:rsidRDefault="00DF13CC" w:rsidP="00296D82">
      <w:pPr>
        <w:spacing w:line="343" w:lineRule="auto"/>
        <w:rPr>
          <w:color w:val="auto"/>
          <w:spacing w:val="-2"/>
        </w:rPr>
      </w:pPr>
      <w:r w:rsidRPr="00762314">
        <w:rPr>
          <w:color w:val="auto"/>
          <w:spacing w:val="-2"/>
        </w:rPr>
        <w:t>Khác với nhóm mua để ở, nhóm nhà đầu tư tiếp cận căn hộ chung cư chủ yếu như một tài sản tài chính, với mục tiêu tối đa hóa lợi nhuận thông qua chênh lệch giá hoặc dòng tiền cho thuê. Hành vi của nhóm này chịu tác động mạnh từ các yếu tố vĩ mô như lãi suất, chính sách tín dụng, quy định pháp lý và kỳ vọng tăng trưởng kinh tế.</w:t>
      </w:r>
    </w:p>
    <w:p w:rsidR="00764EB5" w:rsidRDefault="00DF13CC" w:rsidP="00296D82">
      <w:pPr>
        <w:spacing w:line="343" w:lineRule="auto"/>
        <w:rPr>
          <w:color w:val="auto"/>
        </w:rPr>
      </w:pPr>
      <w:r>
        <w:rPr>
          <w:color w:val="auto"/>
        </w:rPr>
        <w:t xml:space="preserve">Trong giai đoạn thị trường tăng trưởng nóng 2017–2019, khi dòng vốn rẻ và tâm lý lạc quan chiếm ưu thế, hành vi đầu tư mang tính “đón đầu” rất rõ nét. Nhiều </w:t>
      </w:r>
      <w:r>
        <w:rPr>
          <w:color w:val="auto"/>
        </w:rPr>
        <w:lastRenderedPageBreak/>
        <w:t>nhà đầu tư tại thành phố Hồ Chí Minh đã mở rộng phạm vi sang các tỉnh giáp ranh như Bình Dương cũ , Đồng Nai, Long An, góp phần làm gia tăng nhanh nguồn cung căn hộ. Tuy nhiên, khi thị trường bước vào giai đoạn điều chỉnh 2022–2023, thanh khoản suy giảm đã bộc lộ rõ rủi ro của chiến lược đầu tư ngắn hạn, khiến một bộ phận nhà đầu tư buộc phải cơ cấu lại danh mục hoặc bán ra với biên lợi nhuận thấp.</w:t>
      </w:r>
    </w:p>
    <w:p w:rsidR="00764EB5" w:rsidRDefault="00DF13CC" w:rsidP="00296D82">
      <w:pPr>
        <w:spacing w:line="343" w:lineRule="auto"/>
        <w:rPr>
          <w:color w:val="auto"/>
        </w:rPr>
      </w:pPr>
      <w:r>
        <w:rPr>
          <w:color w:val="auto"/>
        </w:rPr>
        <w:t>Bên cạnh đầu cơ tăng giá, đầu tư cho thuê là chiến lược ngày càng phổ biến và mang tính dài hạn hơn, đặc biệt tại các khu vực có nhu cầu thuê ổn định như  thành phố Thủ Đức cũ. Lợi suất cho thuê tại Bình Dương cũ giai đoạn gần đây được đánh giá ở mức cao so với mặt bằng chung cả nước, phản ánh mối liên hệ chặt chẽ giữa phát triển công nghiệp – dịch vụ và nhu cầu nhà ở cho thuê. Tuy nhiên, chiến lược này cũng đối mặt với các thách thức mới như gia tăng nguồn cung, chi phí quản lý vận hành, khấu hao tài sản và rủi ro pháp lý trong khai thác cho thuê.</w:t>
      </w:r>
    </w:p>
    <w:p w:rsidR="00764EB5" w:rsidRDefault="00DF13CC" w:rsidP="00296D82">
      <w:pPr>
        <w:spacing w:line="343" w:lineRule="auto"/>
        <w:rPr>
          <w:i/>
          <w:iCs/>
          <w:color w:val="auto"/>
        </w:rPr>
      </w:pPr>
      <w:r>
        <w:rPr>
          <w:i/>
          <w:iCs/>
          <w:color w:val="auto"/>
        </w:rPr>
        <w:t>(iii) Khác biệt hành vi theo địa phương và phân khúc</w:t>
      </w:r>
    </w:p>
    <w:p w:rsidR="00764EB5" w:rsidRDefault="00DF13CC" w:rsidP="00296D82">
      <w:pPr>
        <w:spacing w:line="343" w:lineRule="auto"/>
        <w:rPr>
          <w:color w:val="auto"/>
        </w:rPr>
      </w:pPr>
      <w:r>
        <w:rPr>
          <w:color w:val="auto"/>
        </w:rPr>
        <w:t>Hành vi mua chung cư tại Đông Nam Bộ còn chịu ảnh hưởng mạnh bởi đặc thù từng địa phương. Thành phố Hồ Chí Minh là thị trường đa dạng nhất, nơi tồn tại đầy đủ các phân khúc từ bình dân đến hạng sang, với mức độ chuyên nghiệp cao và khách hàng ngày càng am hiểu. Trong khi đó, tại Bình Dương cũ và Đồng Nai, chung cư vẫn chủ yếu hấp dẫn nhóm nhà đầu tư và người lao động nhập cư, còn người dân bản địa có xu hướng ưu tiên đất nền hoặc nhà ở thấp tầng. Riêng Bà Rịa – Vũng Tàu xuất hiện nhóm khách hàng đặc thù mua căn hộ ven biển với mục đích nghỉ dưỡng và khai thác cho thuê, nhưng hành vi của nhóm này đang chịu tác động đáng kể từ các thay đổi chính sách quản lý trong thời gian gần đây.</w:t>
      </w:r>
    </w:p>
    <w:p w:rsidR="00764EB5" w:rsidRDefault="00DF13CC" w:rsidP="00296D82">
      <w:pPr>
        <w:spacing w:line="343" w:lineRule="auto"/>
        <w:rPr>
          <w:i/>
          <w:iCs/>
          <w:color w:val="auto"/>
        </w:rPr>
      </w:pPr>
      <w:r>
        <w:rPr>
          <w:i/>
          <w:iCs/>
          <w:color w:val="auto"/>
        </w:rPr>
        <w:t>(iv) Xu hướng hành vi chung và sự trưởng thành của thị trường</w:t>
      </w:r>
    </w:p>
    <w:p w:rsidR="00764EB5" w:rsidRDefault="00DF13CC" w:rsidP="00296D82">
      <w:pPr>
        <w:spacing w:line="343" w:lineRule="auto"/>
        <w:rPr>
          <w:color w:val="auto"/>
        </w:rPr>
      </w:pPr>
      <w:r>
        <w:rPr>
          <w:color w:val="auto"/>
        </w:rPr>
        <w:t>Sau các biến động mạnh của thị trường, hành vi người mua chung cư tại Đông Nam Bộ đang dịch chuyển theo hướng thận trọng, lý trí và dài hạn hơn. Quyết định mua không còn dựa nhiều vào tâm lý đám đông mà gắn chặt với việc cân đối giữa giá trị sử dụng, khả năng tài chính và tiềm năng tương lai. Các yếu tố trước đây bị xem là thứ yếu như quản lý vận hành, cộng đồng cư dân, chi phí duy trì, phong thủy hay uy tín thương hiệu nay trở thành biến số quan trọng trong hành vi lựa chọn.</w:t>
      </w:r>
    </w:p>
    <w:p w:rsidR="00764EB5" w:rsidRDefault="00DF13CC" w:rsidP="003D6B28">
      <w:pPr>
        <w:rPr>
          <w:color w:val="auto"/>
        </w:rPr>
      </w:pPr>
      <w:r>
        <w:rPr>
          <w:i/>
          <w:iCs/>
          <w:color w:val="auto"/>
        </w:rPr>
        <w:t>Tóm lại</w:t>
      </w:r>
      <w:r>
        <w:rPr>
          <w:color w:val="auto"/>
        </w:rPr>
        <w:t xml:space="preserve">, khách hàng mua căn hộ chung cư tại Đông Nam Bộ là một tập hợp đa dạng với động cơ, kỳ vọng và hành vi khác nhau, phản ánh sự chuyển dịch từ thị trường tăng trưởng nóng sang thị trường trưởng thành. Việc nhận diện và phân tích </w:t>
      </w:r>
      <w:r>
        <w:rPr>
          <w:color w:val="auto"/>
        </w:rPr>
        <w:lastRenderedPageBreak/>
        <w:t>sâu hành vi của từng nhóm khách hàng không chỉ giúp hiểu rõ động lực vận hành thị trường, mà còn là cơ sở quan trọng để các chủ đầu tư, nhà hoạch định chính sách và đơn vị phân phối xây dựng chiến lược phát triển bền vững và phù hợp với nhu cầu thực tiễn.</w:t>
      </w:r>
    </w:p>
    <w:p w:rsidR="00764EB5" w:rsidRDefault="00DF13CC" w:rsidP="00021C6B">
      <w:pPr>
        <w:pStyle w:val="Heading4"/>
      </w:pPr>
      <w:r>
        <w:t>4.1.2.5. Đặc thù nhà chung cư theo từng địa phương</w:t>
      </w:r>
    </w:p>
    <w:p w:rsidR="00764EB5" w:rsidRDefault="00DF13CC" w:rsidP="003D6B28">
      <w:pPr>
        <w:rPr>
          <w:color w:val="auto"/>
        </w:rPr>
      </w:pPr>
      <w:r>
        <w:rPr>
          <w:color w:val="auto"/>
        </w:rPr>
        <w:t>Sự phát triển của thị trường căn hộ chung cư tại vùng Đông Nam Bộ chịu ảnh hưởng sâu sắc bởi điều kiện kinh tế – xã hội, tốc độ đô thị hóa, cấu trúc dân cư và định hướng quy hoạch của từng địa phương. Mặc dù cùng nằm trong một vùng kinh tế trọng điểm, các đô thị và không gian phát triển trong khu vực lại thể hiện những đặc trưng rất khác nhau về quy mô thị trường, cơ cấu phân khúc, mặt bằng giá và hành vi mua của người tiêu dùng. Chính sự khác biệt này đã tạo nên tính phân hóa rõ rệt của thị trường chung cư toàn vùng.</w:t>
      </w:r>
    </w:p>
    <w:p w:rsidR="00764EB5" w:rsidRDefault="00DF13CC" w:rsidP="003D6B28">
      <w:pPr>
        <w:rPr>
          <w:color w:val="auto"/>
        </w:rPr>
      </w:pPr>
      <w:r>
        <w:rPr>
          <w:i/>
          <w:iCs/>
          <w:color w:val="auto"/>
        </w:rPr>
        <w:t>Thành phố Hồ Chí Minh</w:t>
      </w:r>
    </w:p>
    <w:p w:rsidR="00764EB5" w:rsidRDefault="00DF13CC" w:rsidP="003D6B28">
      <w:pPr>
        <w:rPr>
          <w:color w:val="auto"/>
        </w:rPr>
      </w:pPr>
      <w:r>
        <w:rPr>
          <w:color w:val="auto"/>
        </w:rPr>
        <w:t>Là trung tâm kinh tế – xã hội lớn nhất cả nước, thành phố HCM là nơi hình thành và phát triển sớm nhất loại hình nhà chung cư. Trong bối cảnh quỹ đất nội đô ngày càng khan hiếm và giá đất tăng cao, chung cư cao tầng trở thành loại hình nhà ở chủ đạo nhằm đáp ứng nhu cầu an cư của khoảng 2,6 triệu hộ gia đình đô thị. Nguồn cung căn hộ tập trung tại các không gian đô thị phát triển mạnh như Thành phố Thủ Đức, Quận 7, Bình Thạnh, Tân Phú, Bình Chánh cũ và một phần khu Nam – Đông thành phố.</w:t>
      </w:r>
    </w:p>
    <w:p w:rsidR="00764EB5" w:rsidRDefault="00DF13CC" w:rsidP="003D6B28">
      <w:pPr>
        <w:rPr>
          <w:color w:val="auto"/>
        </w:rPr>
      </w:pPr>
      <w:r>
        <w:rPr>
          <w:color w:val="auto"/>
        </w:rPr>
        <w:t>Tuy nhiên, giai đoạn 2020–2023 ghi nhận sự sụt giảm mạnh nguồn cung mới do vướng mắc pháp lý kéo dài; năm 2023 chỉ có khoảng 10.700 căn hộ mở bán mới – mức thấp nhất trong hơn một thập niên, dù vẫn ghi nhận hơn 6.000 giao dịch thành công. Bước sang giai đoạn 2024–2025, nguồn cung có dấu hiệu cải thiện nhưng vẫn chưa đáp ứng đủ nhu cầu ở thực.</w:t>
      </w:r>
    </w:p>
    <w:p w:rsidR="00764EB5" w:rsidRDefault="00DF13CC" w:rsidP="00296D82">
      <w:pPr>
        <w:spacing w:line="343" w:lineRule="auto"/>
        <w:rPr>
          <w:color w:val="auto"/>
        </w:rPr>
      </w:pPr>
      <w:r>
        <w:rPr>
          <w:color w:val="auto"/>
        </w:rPr>
        <w:t xml:space="preserve">Mặt bằng giá căn hộ tại </w:t>
      </w:r>
      <w:r w:rsidR="008C6F28">
        <w:rPr>
          <w:color w:val="auto"/>
        </w:rPr>
        <w:t xml:space="preserve">thành </w:t>
      </w:r>
      <w:r>
        <w:rPr>
          <w:color w:val="auto"/>
        </w:rPr>
        <w:t xml:space="preserve">phố HCM hiện cao nhất cả nước và tiếp tục tăng nhanh: phân khúc trung cấp phổ biến trong khoảng 70–90 triệu đồng/m², phân khúc cao cấp 100–150 triệu đồng/m², trong khi phân khúc hạng sang tại khu trung tâm và Thủ Thiêm có thể vượt 180–200 triệu đồng/m². Mức giá này tạo ra sự phân hóa rõ rệt về khả năng tiếp cận nhà ở, buộc phần lớn người thu nhập trung bình phải dịch </w:t>
      </w:r>
      <w:r>
        <w:rPr>
          <w:color w:val="auto"/>
        </w:rPr>
        <w:lastRenderedPageBreak/>
        <w:t>chuyển nhu cầu sang khu vực ven hoặc các đô thị lân cận. Do đó, thành phố Hồ Chí Minh vừa là trung tâm cầu nhà ở, vừa là nguồn phát sinh dòng vốn và nhu cầu mua căn hộ sang các địa phương khác trong vùng.</w:t>
      </w:r>
    </w:p>
    <w:p w:rsidR="00764EB5" w:rsidRDefault="00DF13CC" w:rsidP="00296D82">
      <w:pPr>
        <w:spacing w:line="343" w:lineRule="auto"/>
        <w:rPr>
          <w:i/>
          <w:iCs/>
          <w:color w:val="auto"/>
        </w:rPr>
      </w:pPr>
      <w:r>
        <w:rPr>
          <w:i/>
          <w:iCs/>
          <w:color w:val="auto"/>
        </w:rPr>
        <w:t>Không gian đô thị Bình Dương cũ</w:t>
      </w:r>
    </w:p>
    <w:p w:rsidR="00764EB5" w:rsidRPr="00296D82" w:rsidRDefault="00DF13CC" w:rsidP="00296D82">
      <w:pPr>
        <w:spacing w:line="343" w:lineRule="auto"/>
        <w:rPr>
          <w:color w:val="auto"/>
        </w:rPr>
      </w:pPr>
      <w:r w:rsidRPr="00296D82">
        <w:rPr>
          <w:color w:val="auto"/>
        </w:rPr>
        <w:t>Không gian đô thị Bình Dương cũ nổi lên từ sau năm 2018 như một cực tăng trưởng mới của thị trường chung cư vùng Đông Nam Bộ. Với tỷ lệ đô thị hóa trên 84%, hạ tầng giao thông kết nối thuận lợi với thành phố Hồ Chí Minh và lực lượng lao động nhập cư lớn, nhu cầu căn hộ tại Bình Dương tăng mạnh cả cho mục đích ở thực lẫn đầu tư.</w:t>
      </w:r>
    </w:p>
    <w:p w:rsidR="00764EB5" w:rsidRDefault="00DF13CC" w:rsidP="00296D82">
      <w:pPr>
        <w:spacing w:line="343" w:lineRule="auto"/>
        <w:rPr>
          <w:color w:val="auto"/>
        </w:rPr>
      </w:pPr>
      <w:r>
        <w:rPr>
          <w:color w:val="auto"/>
        </w:rPr>
        <w:t>Giai đoạn 2019–2022, khu vực này ghi nhận hơn 45.000 căn hộ mở bán mới, đưa Bình Dương trở thành một trong ba thị trường căn hộ lớn nhất cả nước. Đến năm 2024–2025, mặt bằng giá căn hộ đã tăng đáng kể: Dĩ An và Thuận An cũ phổ biến 40–60 triệu đồng/m², Thủ Dầu Một cũ khoảng 35–45 triệu đồng/m², trong khi các khu vực xa trung tâm hơn như Bến Cát, Tân Uyên cũ  dao động 25–35 triệu đồng/m². Đáng chú ý, một số dự án cao cấp mới tại Dĩ An và Thuận An đã tiệm cận mức giá thấp của thành phố Hồ Chí Minh.</w:t>
      </w:r>
    </w:p>
    <w:p w:rsidR="00764EB5" w:rsidRDefault="00DF13CC" w:rsidP="00296D82">
      <w:pPr>
        <w:spacing w:line="343" w:lineRule="auto"/>
        <w:rPr>
          <w:color w:val="auto"/>
        </w:rPr>
      </w:pPr>
      <w:r>
        <w:rPr>
          <w:color w:val="auto"/>
        </w:rPr>
        <w:t>Bình Dương cũ cũng dẫn đầu cả nước về lợi suất cho thuê căn hộ, bình quân khoảng 4,5–5%/năm, có dự án đạt trên 6%/năm, nhờ giá mua còn tương đối hợp lý và nhu cầu thuê lớn từ chuyên gia, kỹ sư và công nhân. Tuy nhiên, thị trường cũng đối mặt với rủi ro thừa cung cục bộ và tỷ lệ ở thực chưa cao tại một số dự án, phản ánh sự chi phối mạnh của nhóm nhà đầu tư trong giai đoạn trước.</w:t>
      </w:r>
    </w:p>
    <w:p w:rsidR="00764EB5" w:rsidRDefault="00DF13CC" w:rsidP="00296D82">
      <w:pPr>
        <w:spacing w:line="343" w:lineRule="auto"/>
        <w:rPr>
          <w:i/>
          <w:iCs/>
          <w:color w:val="auto"/>
        </w:rPr>
      </w:pPr>
      <w:r>
        <w:rPr>
          <w:i/>
          <w:iCs/>
          <w:color w:val="auto"/>
        </w:rPr>
        <w:t xml:space="preserve">Không gian đô thị Đồng Nai </w:t>
      </w:r>
    </w:p>
    <w:p w:rsidR="00764EB5" w:rsidRDefault="00DF13CC" w:rsidP="00296D82">
      <w:pPr>
        <w:spacing w:line="343" w:lineRule="auto"/>
        <w:rPr>
          <w:color w:val="auto"/>
        </w:rPr>
      </w:pPr>
      <w:r>
        <w:rPr>
          <w:color w:val="auto"/>
        </w:rPr>
        <w:t>Không gian đô thị Đồng Nai, với hạt nhân là Biên Hòa và các khu vực Nhơn Trạch, Long Thành, hiện vẫn ở giai đoạn đầu phát triển thị trường chung cư. Tỷ lệ đô thị hóa thấp hơn so với thành Hồ Chí Minh và Bình Dương, cùng với quỹ đất rộng, khiến nhà liền thổ vẫn là lựa chọn phổ biến của người dân địa phương.</w:t>
      </w:r>
    </w:p>
    <w:p w:rsidR="00764EB5" w:rsidRDefault="00DF13CC" w:rsidP="003D6B28">
      <w:pPr>
        <w:rPr>
          <w:color w:val="auto"/>
        </w:rPr>
      </w:pPr>
      <w:r>
        <w:rPr>
          <w:color w:val="auto"/>
        </w:rPr>
        <w:t>Hoạt động phát triển chung cư tập trung chủ yếu tại Biên Hòa, với các dự án quy mô vừa và trung bình, phục vụ nhu cầu ở thực của công nhân, viên chức và chuyên gia làm việc tại các khu công nghiệp. Giá căn hộ hiện dao động khoảng 25–</w:t>
      </w:r>
      <w:r w:rsidRPr="00296D82">
        <w:rPr>
          <w:color w:val="auto"/>
          <w:spacing w:val="-2"/>
        </w:rPr>
        <w:t xml:space="preserve">40 triệu đồng/m², thấp hơn đáng kể so với hai thị trường dẫn đầu vùng. Triển vọng dài hạn của khu vực này được đánh giá tích cực nhờ các dự án hạ tầng chiến lược như </w:t>
      </w:r>
      <w:r w:rsidRPr="00296D82">
        <w:rPr>
          <w:color w:val="auto"/>
          <w:spacing w:val="-2"/>
        </w:rPr>
        <w:lastRenderedPageBreak/>
        <w:t>Sân bay quốc tế Long Thành, hệ thống cao tốc và các cây cầu kết nối trực tiếp với thành phố Hồ Chí Minh, hứa hẹn thúc đẩy nhu cầu nhà ở cao tầng trong tương lai.</w:t>
      </w:r>
    </w:p>
    <w:p w:rsidR="00764EB5" w:rsidRDefault="00DF13CC" w:rsidP="003D6B28">
      <w:pPr>
        <w:rPr>
          <w:color w:val="auto"/>
        </w:rPr>
      </w:pPr>
      <w:r>
        <w:rPr>
          <w:i/>
          <w:iCs/>
          <w:color w:val="auto"/>
        </w:rPr>
        <w:t>Không gian đô thị Bà Rịa – Vũng Tàu cũ</w:t>
      </w:r>
    </w:p>
    <w:p w:rsidR="00764EB5" w:rsidRDefault="00DF13CC" w:rsidP="003D6B28">
      <w:pPr>
        <w:rPr>
          <w:color w:val="auto"/>
        </w:rPr>
      </w:pPr>
      <w:r>
        <w:rPr>
          <w:color w:val="auto"/>
        </w:rPr>
        <w:t>Không gian đô thị Bà Rịa – Vũng Tàu phát triển thị trường chung cư theo hướng kép: phục vụ nhu cầu ở thực của cư dân đô thị và nhu cầu nghỉ dưỡng ven biển. Các dự án ở thực tập trung tại khu vực nội đô, với giá bán hiện nay khoảng 45–65 triệu đồng/m², phục vụ người dân địa phương, chuyên gia trong lĩnh vực dầu khí, cảng biển và dịch vụ.</w:t>
      </w:r>
    </w:p>
    <w:p w:rsidR="00764EB5" w:rsidRPr="00296D82" w:rsidRDefault="00DF13CC" w:rsidP="003D6B28">
      <w:pPr>
        <w:rPr>
          <w:color w:val="auto"/>
          <w:spacing w:val="-2"/>
        </w:rPr>
      </w:pPr>
      <w:r w:rsidRPr="00296D82">
        <w:rPr>
          <w:color w:val="auto"/>
          <w:spacing w:val="-2"/>
        </w:rPr>
        <w:t>Phân khúc căn hộ du lịch và condotel ven biển có giá cao hơn, dao động 55–75 triệu đồng/m² trên thị trường thứ cấp. Tuy nhiên, các quy định pháp lý mới từ năm 2024 về hạn chế sử dụng căn hộ chung cư cho mục đích lưu trú ngắn hạn đã làm thay đổi hành vi của nhà đầu tư, thúc đẩy xu hướng chuyển sang cho thuê dài hạn hoặc bán lại, từ đó gia tăng tỷ trọng người mua ở thực và tính ổn định của thị trường.</w:t>
      </w:r>
    </w:p>
    <w:p w:rsidR="00764EB5" w:rsidRDefault="00DF13CC" w:rsidP="003D6B28">
      <w:pPr>
        <w:rPr>
          <w:color w:val="auto"/>
        </w:rPr>
      </w:pPr>
      <w:r>
        <w:rPr>
          <w:i/>
          <w:iCs/>
          <w:color w:val="auto"/>
        </w:rPr>
        <w:t>Không gian đô thị Tây Ninh</w:t>
      </w:r>
    </w:p>
    <w:p w:rsidR="00764EB5" w:rsidRDefault="00DF13CC" w:rsidP="003D6B28">
      <w:pPr>
        <w:rPr>
          <w:color w:val="auto"/>
        </w:rPr>
      </w:pPr>
      <w:r>
        <w:rPr>
          <w:color w:val="auto"/>
        </w:rPr>
        <w:t>So với các địa phương còn lại trong vùng Đông Nam Bộ, không gian đô thị Tây Ninh có thị trường chung cư phát triển chậm hơn và quy mô nhỏ. Chung cư mới chỉ xuất hiện tại Thành phố Tây Ninh cũ và một phần Trảng Bàng, chủ yếu phục vụ nhu cầu ở thực của cán bộ, công chức và người lao động đô thị. Giá căn hộ hiện dao động khoảng 18–30 triệu đồng/m², thấp nhất toàn vùng.</w:t>
      </w:r>
    </w:p>
    <w:p w:rsidR="00764EB5" w:rsidRDefault="00DF13CC" w:rsidP="003D6B28">
      <w:pPr>
        <w:rPr>
          <w:color w:val="auto"/>
        </w:rPr>
      </w:pPr>
      <w:r>
        <w:rPr>
          <w:color w:val="auto"/>
        </w:rPr>
        <w:t>Do quỹ đất còn dồi dào và tâm lý ưa chuộng nhà liền thổ, chung cư chưa phải lựa chọn phổ biến của đại đa số người dân địa phương. Tuy nhiên, với định hướng phát triển kinh tế cửa khẩu, công nghiệp và các tuyến giao thông kết nối thành phố Hồ Chí Minh – Mộc Bài, nhu cầu nhà ở cao tầng tại Tây Ninh được dự báo sẽ gia tăng trong trung và dài hạn, đặc biệt đối với nhóm dân cư trẻ và gia đình hạt nhân.</w:t>
      </w:r>
    </w:p>
    <w:p w:rsidR="00764EB5" w:rsidRDefault="00DF13CC" w:rsidP="00296D82">
      <w:pPr>
        <w:spacing w:line="343" w:lineRule="auto"/>
        <w:rPr>
          <w:color w:val="auto"/>
        </w:rPr>
      </w:pPr>
      <w:r>
        <w:rPr>
          <w:i/>
          <w:iCs/>
          <w:color w:val="auto"/>
        </w:rPr>
        <w:t>Nhìn tổng thể</w:t>
      </w:r>
      <w:r>
        <w:rPr>
          <w:color w:val="auto"/>
        </w:rPr>
        <w:t xml:space="preserve">, thị trường căn hộ chung cư tại vùng Đông Nam Bộ thể hiện sự phân hóa rõ rệt theo không gian phát triển: Thành phố  HCM giữ vai trò trung tâm về quy mô và giá trị nhưng chịu áp lực lớn về giá và pháp lý; Bình Dương nổi bật về tốc độ phát triển và hiệu quả khai thác cho thuê; Đồng Nai và Tây Ninh ở giai đoạn chuyển tiếp với dư địa tăng trưởng dài hạn; trong khi không gian đô thị Bà Rịa – Vũng Tàu mang tính đặc thù với sự đan xen giữa ở thực và nghỉ dưỡng. Sự đa dạng này không chỉ phản ánh khác biệt về điều kiện kinh tế – xã hội và chính sách </w:t>
      </w:r>
      <w:r>
        <w:rPr>
          <w:color w:val="auto"/>
        </w:rPr>
        <w:lastRenderedPageBreak/>
        <w:t>địa phương, mà còn tạo nên những khác biệt đáng kể trong hành vi và quyết định mua căn hộ của người tiêu dùng – một nền tảng quan trọng cho việc xây dựng mô hình nghiên cứu ở các chương tiếp theo.</w:t>
      </w:r>
    </w:p>
    <w:p w:rsidR="00764EB5" w:rsidRPr="00762314" w:rsidRDefault="00DF13CC" w:rsidP="00021C6B">
      <w:pPr>
        <w:pStyle w:val="Heading3"/>
        <w:rPr>
          <w:b w:val="0"/>
        </w:rPr>
      </w:pPr>
      <w:bookmarkStart w:id="424" w:name="_Toc241062469"/>
      <w:bookmarkStart w:id="425" w:name="_Toc241064394"/>
      <w:bookmarkStart w:id="426" w:name="_Toc241065327"/>
      <w:bookmarkStart w:id="427" w:name="_Toc241065545"/>
      <w:r w:rsidRPr="00762314">
        <w:rPr>
          <w:b w:val="0"/>
        </w:rPr>
        <w:t>4.1.2.6. Xu hướng phát triển thị trường căn hộ chung cư</w:t>
      </w:r>
      <w:bookmarkEnd w:id="424"/>
      <w:bookmarkEnd w:id="425"/>
      <w:bookmarkEnd w:id="426"/>
      <w:bookmarkEnd w:id="427"/>
    </w:p>
    <w:p w:rsidR="00764EB5" w:rsidRDefault="00DF13CC" w:rsidP="00296D82">
      <w:pPr>
        <w:spacing w:line="343" w:lineRule="auto"/>
        <w:rPr>
          <w:color w:val="auto"/>
        </w:rPr>
      </w:pPr>
      <w:r>
        <w:rPr>
          <w:color w:val="auto"/>
        </w:rPr>
        <w:t>Trong giai đoạn hậu COVID-19 cùng tác động từ bối cảnh kinh tế – xã hội mới, thị trường chung cư tại Đông Nam Bộ đang hình thành những xu hướng đáng chú ý:</w:t>
      </w:r>
    </w:p>
    <w:p w:rsidR="00764EB5" w:rsidRDefault="00DF13CC" w:rsidP="00296D82">
      <w:pPr>
        <w:spacing w:line="343" w:lineRule="auto"/>
        <w:rPr>
          <w:color w:val="auto"/>
        </w:rPr>
      </w:pPr>
      <w:r>
        <w:rPr>
          <w:b/>
          <w:bCs/>
          <w:i/>
          <w:iCs/>
          <w:color w:val="auto"/>
        </w:rPr>
        <w:t>- Đô thị nén và phát triển bền vững.</w:t>
      </w:r>
      <w:r>
        <w:rPr>
          <w:color w:val="auto"/>
        </w:rPr>
        <w:t xml:space="preserve"> Các đô thị trong vùng tiếp tục triển khai mô hình đô thị nén với nhà cao tầng tại khu trung tâm và các đô thị vệ tinh nhằm đáp ứng nhu cầu gia tăng dân số mà không mở rộng quỹ đất tràn lan. Xu hướng này gắn liền với phát triển giao thông công cộng định hướng TOD và áp dụng tiêu chuẩn công trình xanh. Các dự án tập trung quanh tuyến metro số 1 và các tuyến metro liên kết thành phố HCM – Bình Dương, đồng thời ngày càng tuân thủ quy chuẩn tiết kiệm năng lượng. Chung cư sinh thái, tích hợp mảng xanh và công nghệ thân thiện môi trường được dự báo sẽ phát triển mạnh khi người dân cũng như cơ quan quản lý quan tâm nhiều hơn đến biến đổi khí hậu và sức khỏe đô thị.</w:t>
      </w:r>
    </w:p>
    <w:p w:rsidR="00764EB5" w:rsidRDefault="00DF13CC" w:rsidP="00296D82">
      <w:pPr>
        <w:spacing w:line="343" w:lineRule="auto"/>
        <w:rPr>
          <w:color w:val="auto"/>
        </w:rPr>
      </w:pPr>
      <w:r>
        <w:rPr>
          <w:b/>
          <w:bCs/>
          <w:i/>
          <w:iCs/>
          <w:color w:val="auto"/>
        </w:rPr>
        <w:t xml:space="preserve">- Thay đổi nhu cầu sau đại dịch. </w:t>
      </w:r>
      <w:r>
        <w:rPr>
          <w:color w:val="auto"/>
        </w:rPr>
        <w:t xml:space="preserve">Đại dịch đã làm thay đổi quan niệm về không gian sống: người mua ưu tiên căn hộ thoáng, có ban công, không gian làm việc riêng và tiện ích chăm sóc sức khỏe. Các dự án tích hợp vườn cảnh quan, khu tập luyện, </w:t>
      </w:r>
      <w:r w:rsidRPr="00762314">
        <w:rPr>
          <w:color w:val="auto"/>
          <w:spacing w:val="-2"/>
        </w:rPr>
        <w:t>yoga, hoặc không gian làm việc chung ngày càng được ưa chuộng. Đồng thời, một bộ phận dân cư có xu hướng dịch chuyển ra vùng ven (Bình Dương, Đồng Nai) để sở hữu nhà ở rộng rãi với chi phí hợp lý, góp phần hình thành xu thế giãn dân và mở rộng các đô thị vệ tinh. Dự báo tại Bình Dương, Đồng Nai và Long An, khoảng 96% nguồn cung mới năm 2026 thuộc phân khúc dưới 5 tỷ đồng/căn, phù hợp nhu cầu ở thực.</w:t>
      </w:r>
    </w:p>
    <w:p w:rsidR="00764EB5" w:rsidRDefault="00DF13CC" w:rsidP="00296D82">
      <w:pPr>
        <w:spacing w:line="343" w:lineRule="auto"/>
        <w:rPr>
          <w:color w:val="auto"/>
        </w:rPr>
      </w:pPr>
      <w:r>
        <w:rPr>
          <w:b/>
          <w:bCs/>
          <w:i/>
          <w:iCs/>
          <w:color w:val="auto"/>
        </w:rPr>
        <w:t>- Tái cân bằng phân khúc.</w:t>
      </w:r>
      <w:r>
        <w:rPr>
          <w:b/>
          <w:bCs/>
          <w:color w:val="auto"/>
        </w:rPr>
        <w:t xml:space="preserve"> </w:t>
      </w:r>
      <w:r>
        <w:rPr>
          <w:color w:val="auto"/>
        </w:rPr>
        <w:t>Sau thời kỳ tập trung phát triển phân khúc cao cấp, thị trường đang chuyển hướng sang nhóm khách hàng phổ thông. Chính phủ khuyến khích phát triển nhà ở xã hội, nhà ở giá thấp, cùng với gói tín dụng ưu đãi cho căn hộ dưới 2 tỷ đồng. Nhiều chủ đầu tư điều chỉnh chiến lược, phát triển căn hộ diện tích nhỏ (1–2 phòng ngủ, giá 2–3 tỷ) để mở rộng khả năng tiếp cận. Phân khúc “ở thực, vừa túi tiền” ngày càng trở thành định hướng chủ đạo, trong khi officetel, condotel thu hẹp do vướng mắc pháp lý và thiếu bền vững.</w:t>
      </w:r>
    </w:p>
    <w:p w:rsidR="00764EB5" w:rsidRDefault="00DF13CC" w:rsidP="00296D82">
      <w:pPr>
        <w:spacing w:line="343" w:lineRule="auto"/>
        <w:rPr>
          <w:color w:val="auto"/>
        </w:rPr>
      </w:pPr>
      <w:r>
        <w:rPr>
          <w:color w:val="auto"/>
        </w:rPr>
        <w:lastRenderedPageBreak/>
        <w:t>- Ứng dụng công nghệ và quản lý thông minh. Công nghệ số được tích hợp mạnh mẽ trong các dự án, từ hệ thống smarthome (điều khiển từ xa, an ninh thông minh) đến phần mềm quản lý tòa nhà cho phép cư dân thanh toán, phản ánh và đăng ký dịch vụ trực tuyến. Một số tiện ích như hệ thống nhận hàng tự động, không gian giao nhận tối ưu cũng được áp dụng rộng rãi. Điều này không chỉ nâng cao trải nghiệm sống mà còn đáp ứng kỳ vọng của thế hệ cư dân trẻ vốn quen thuộc với công nghệ.</w:t>
      </w:r>
    </w:p>
    <w:p w:rsidR="00764EB5" w:rsidRDefault="00DF13CC" w:rsidP="00296D82">
      <w:pPr>
        <w:spacing w:line="343" w:lineRule="auto"/>
        <w:rPr>
          <w:color w:val="auto"/>
        </w:rPr>
      </w:pPr>
      <w:r>
        <w:rPr>
          <w:b/>
          <w:bCs/>
          <w:i/>
          <w:iCs/>
          <w:color w:val="auto"/>
        </w:rPr>
        <w:t xml:space="preserve">- Yếu tố tài chính và chính sách vĩ mô. </w:t>
      </w:r>
      <w:r>
        <w:rPr>
          <w:color w:val="auto"/>
        </w:rPr>
        <w:t>Thị trường bất động sản từng chịu ảnh hưởng mạnh từ siết tín dụng và lãi suất cao trong giai đoạn 2022–2023, khiến nhu cầu giảm sút. Từ cuối 2023, lãi suất hạ nhiệt giúp tâm lý người mua cải thiện, song thách thức lớn vẫn là khả năng chi trả. Tỷ lệ giá nhà/thu nhập tại thành phố HCM đạt 20–25 lần, vượt xa mức trung bình thế giới, buộc nhiều hộ gia đình chọn căn hộ nhỏ hơn hoặc ở xa hơn. Về phía doanh nghiệp, xu hướng tái cấu trúc vốn, giảm phụ thuộc ngân hàng và thanh lọc chủ đầu tư yếu kém đang diễn ra, kỳ vọng mang lại thị trường minh bạch và bền vững hơn.</w:t>
      </w:r>
    </w:p>
    <w:p w:rsidR="00764EB5" w:rsidRDefault="00DF13CC" w:rsidP="00296D82">
      <w:pPr>
        <w:spacing w:line="343" w:lineRule="auto"/>
        <w:rPr>
          <w:color w:val="auto"/>
        </w:rPr>
      </w:pPr>
      <w:r>
        <w:rPr>
          <w:color w:val="auto"/>
        </w:rPr>
        <w:t>- Liên kết vùng và đa trung tâm. Quy hoạch vùng Đông Nam Bộ giai đoạn 2021–2030 định hướng xây dựng không gian đô thị tích hợp, trong đó TP. HCM và các tỉnh lân cận cùng chia sẻ áp lực dân số và nhà ở. Thực tế, từ 2020–2023, nguồn cung căn hộ mới tại các tỉnh vùng ven đã vượt thành phố HCM, phản ánh xu hướng dịch chuyển rõ rệt. Trong tương lai, các đô thị vệ tinh không chỉ bổ sung phân khúc trung – cao cấp mà còn phát triển mạnh nhà ở xã hội và chung cư giá rẻ phục vụ công nhân, lao động nhập cư, góp phần hiện thực hóa định hướng đô thị nhân văn và bền vững.</w:t>
      </w:r>
    </w:p>
    <w:p w:rsidR="00764EB5" w:rsidRDefault="00DF13CC" w:rsidP="00296D82">
      <w:pPr>
        <w:spacing w:line="343" w:lineRule="auto"/>
        <w:rPr>
          <w:color w:val="auto"/>
        </w:rPr>
      </w:pPr>
      <w:r>
        <w:rPr>
          <w:color w:val="auto"/>
        </w:rPr>
        <w:t>Thị trường chung cư Đông Nam Bộ đang bước vào giai đoạn điều chỉnh quan trọng: từ tăng trưởng nóng sang phát triển cân bằng, ưu tiên nhu cầu thực, bền vững và gắn kết vùng. Xu hướng này khẳng định vai trò then chốt của chung cư trong tiến trình đô thị hóa đa trung tâm của khu vực.</w:t>
      </w:r>
    </w:p>
    <w:p w:rsidR="00764EB5" w:rsidRDefault="00DF13CC" w:rsidP="003D6B28">
      <w:pPr>
        <w:rPr>
          <w:color w:val="auto"/>
        </w:rPr>
      </w:pPr>
      <w:r>
        <w:rPr>
          <w:color w:val="auto"/>
        </w:rPr>
        <w:t xml:space="preserve">Thị trường nhà chung cư tại Đông Nam Bộ thể hiện sự đa dạng và phản </w:t>
      </w:r>
      <w:r>
        <w:rPr>
          <w:color w:val="auto"/>
          <w:spacing w:val="-4"/>
        </w:rPr>
        <w:t xml:space="preserve">ánh rõ nét đặc điểm kinh tế – xã hội năng động của vùng. Qua phân tích các khía cạnh về vị trí địa lý, quá trình đô thị hóa, hạ tầng kỹ thuật – xã hội, yếu tố pháp lý, loại hình căn hộ, tiện ích, môi trường sống, hành vi khách hàng và đặc thù từng địa phương, có thể </w:t>
      </w:r>
      <w:r>
        <w:rPr>
          <w:color w:val="auto"/>
          <w:spacing w:val="-4"/>
        </w:rPr>
        <w:lastRenderedPageBreak/>
        <w:t>khẳng định rằng chung cư đã, đang và sẽ tiếp tục giữ vai trò là xu hướng nhà ở tất yếu trong bối cảnh đô thị hóa ngày càng sâu rộng.</w:t>
      </w:r>
    </w:p>
    <w:p w:rsidR="00764EB5" w:rsidRDefault="00DF13CC" w:rsidP="007B644D">
      <w:pPr>
        <w:pStyle w:val="Heading2"/>
      </w:pPr>
      <w:bookmarkStart w:id="428" w:name="_Toc241062470"/>
      <w:bookmarkStart w:id="429" w:name="_Toc241064395"/>
      <w:bookmarkStart w:id="430" w:name="_Toc241065328"/>
      <w:bookmarkStart w:id="431" w:name="_Toc241065546"/>
      <w:r>
        <w:t>4.2. Phân tích yếu tố ảnh hưởng tới quyết định mua căn hộ chung cư.</w:t>
      </w:r>
      <w:bookmarkEnd w:id="428"/>
      <w:bookmarkEnd w:id="429"/>
      <w:bookmarkEnd w:id="430"/>
      <w:bookmarkEnd w:id="431"/>
    </w:p>
    <w:p w:rsidR="00764EB5" w:rsidRDefault="00DF13CC" w:rsidP="00762314">
      <w:pPr>
        <w:ind w:firstLine="0"/>
        <w:outlineLvl w:val="0"/>
        <w:rPr>
          <w:b/>
          <w:i/>
          <w:color w:val="auto"/>
        </w:rPr>
      </w:pPr>
      <w:bookmarkStart w:id="432" w:name="_Toc241064396"/>
      <w:bookmarkStart w:id="433" w:name="_Toc241065329"/>
      <w:bookmarkStart w:id="434" w:name="_Toc241065547"/>
      <w:r>
        <w:rPr>
          <w:b/>
          <w:i/>
          <w:color w:val="auto"/>
        </w:rPr>
        <w:t>4.2.1.Thông tin mẫu đi</w:t>
      </w:r>
      <w:r w:rsidR="008C6F28">
        <w:rPr>
          <w:b/>
          <w:i/>
          <w:color w:val="auto"/>
        </w:rPr>
        <w:t>ề</w:t>
      </w:r>
      <w:r>
        <w:rPr>
          <w:b/>
          <w:i/>
          <w:color w:val="auto"/>
        </w:rPr>
        <w:t>u tra</w:t>
      </w:r>
      <w:bookmarkEnd w:id="432"/>
      <w:bookmarkEnd w:id="433"/>
      <w:bookmarkEnd w:id="434"/>
    </w:p>
    <w:p w:rsidR="00764EB5" w:rsidRDefault="00DF13CC" w:rsidP="003D6B28">
      <w:pPr>
        <w:ind w:firstLine="0"/>
        <w:rPr>
          <w:i/>
          <w:color w:val="auto"/>
        </w:rPr>
      </w:pPr>
      <w:r>
        <w:rPr>
          <w:i/>
          <w:color w:val="auto"/>
        </w:rPr>
        <w:t>4.2.1.1.Phân bố mẫu điều tra</w:t>
      </w:r>
    </w:p>
    <w:bookmarkEnd w:id="414"/>
    <w:bookmarkEnd w:id="415"/>
    <w:p w:rsidR="00764EB5" w:rsidRPr="00296D82" w:rsidRDefault="00DF13CC" w:rsidP="00296D82">
      <w:pPr>
        <w:spacing w:line="343" w:lineRule="auto"/>
        <w:rPr>
          <w:color w:val="auto"/>
          <w:spacing w:val="-4"/>
        </w:rPr>
      </w:pPr>
      <w:r w:rsidRPr="00296D82">
        <w:rPr>
          <w:color w:val="auto"/>
          <w:spacing w:val="-4"/>
        </w:rPr>
        <w:t>Quy trình thu thập số liệu trong nghiên cứu được triển khai có hệ thống, phù hợp với mục tiêu nghiên cứu về hành vi khách hàng mua căn hộ chung cư tại vùng Đông Nam Bộ trong bối cảnh hành chính mới. Quy trình được xây dựng trên cơ sở thiết kế nghiên cứu ở Chương 3, kết hợp khảo sát trực tiếp và trực tuyến nhằm mở rộng khả năng tiếp cận đối tượng phù hợp; do sử dụng chọn mẫu thuận tiện kết hợp lan truyền, luận án không xem đây là mẫu xác suất đại diện cho toàn bộ dân số của vùng.</w:t>
      </w:r>
    </w:p>
    <w:p w:rsidR="00764EB5" w:rsidRPr="00296D82" w:rsidRDefault="00DF13CC" w:rsidP="00296D82">
      <w:pPr>
        <w:spacing w:line="343" w:lineRule="auto"/>
        <w:rPr>
          <w:color w:val="auto"/>
          <w:spacing w:val="-2"/>
        </w:rPr>
      </w:pPr>
      <w:r w:rsidRPr="00296D82">
        <w:rPr>
          <w:color w:val="auto"/>
          <w:spacing w:val="-2"/>
        </w:rPr>
        <w:t>Trước hết, trên cơ sở mô hình nghiên cứu và thang đo đã được hiệu chỉnh thông qua nghiên cứu định tính, bảng khảo sát chính thức được hoàn thiện với các nhóm biến đo lường gồm: Thái độ, Chuẩn chủ quan , Nhận thức kiểm soát hành vi , Giá trị cảm nhận căn hộ , Ý định mua và Mức độ sẵn sàng ra quyết định mua . Các biến quan sát được thiết kế dưới dạng thang đo Likert 5 điểm, đảm bảo tính nhất quán và phù hợp với các phương pháp phân tích định lượng như SPSS và PLS-SEM.</w:t>
      </w:r>
    </w:p>
    <w:p w:rsidR="00764EB5" w:rsidRDefault="00DF13CC" w:rsidP="00296D82">
      <w:pPr>
        <w:spacing w:line="343" w:lineRule="auto"/>
        <w:rPr>
          <w:color w:val="auto"/>
          <w:spacing w:val="-4"/>
        </w:rPr>
      </w:pPr>
      <w:r>
        <w:rPr>
          <w:color w:val="auto"/>
        </w:rPr>
        <w:t>Trước khi tiến hành khảo sát chính thức, nghiên cứu thực hiện khảo sát thử nhằm kiểm tra mức độ rõ ràng của bảng hỏi và khả năng hiểu của người trả lời. Sau khi điều chỉnh, dữ liệu chính thức được thu thập tại thành phố Hồ Chí Minh, Đồng Nai và Tây Ninh. Ba địa bàn này tạo ra các bối cảnh thị trường khác nhau để mô tả và kiểm định mô hình trong phạm vi mẫu nghiên cứu.</w:t>
      </w:r>
    </w:p>
    <w:p w:rsidR="00764EB5" w:rsidRDefault="00DF13CC" w:rsidP="00296D82">
      <w:pPr>
        <w:spacing w:line="343" w:lineRule="auto"/>
        <w:rPr>
          <w:color w:val="auto"/>
        </w:rPr>
      </w:pPr>
      <w:r>
        <w:rPr>
          <w:color w:val="auto"/>
        </w:rPr>
        <w:t>Quá trình thu thập dữ liệu được thực hiện thông qua hai hình thức chính. Thứ nhất, khảo sát trực tiếp được tiến hành tại các khu đô thị, khu căn hộ và khu dân cư có đối tượng phù hợp với tiêu chí sàng lọc. Thứ hai, khảo sát trực tuyến được triển khai qua bảng hỏi điện tử nhằm mở rộng khả năng tiếp cận người đang tìm hiểu thông tin bất động sản trên nền tảng số. Việc kết hợp hai hình thức giúp tăng khả năng tiếp cận và đa dạng hóa nguồn người trả lời, nhưng không làm cho mẫu phi xác suất trở thành mẫu đại diện xác suất.</w:t>
      </w:r>
    </w:p>
    <w:p w:rsidR="00764EB5" w:rsidRDefault="00DF13CC" w:rsidP="003D6B28">
      <w:pPr>
        <w:rPr>
          <w:color w:val="auto"/>
        </w:rPr>
      </w:pPr>
      <w:r>
        <w:rPr>
          <w:color w:val="auto"/>
        </w:rPr>
        <w:t xml:space="preserve">Trong quá trình thu thập dữ liệu, nghiên cứu áp dụng phương pháp chọn mẫu thuận tiện kết hợp với kỹ thuật lan truyền, đồng thời sử dụng hệ thống câu hỏi sàng </w:t>
      </w:r>
      <w:r>
        <w:rPr>
          <w:color w:val="auto"/>
        </w:rPr>
        <w:lastRenderedPageBreak/>
        <w:t>lọc (A1–A4) để đảm bảo đối tượng khảo sát phù hợp với mục tiêu nghiên cứu. Cụ thể, người trả lời phải thuộc khu vực Đông Nam Bộ, có liên quan đến hành vi mua căn hộ và có tham gia vào quá trình ra quyết định.</w:t>
      </w:r>
    </w:p>
    <w:p w:rsidR="00764EB5" w:rsidRDefault="00DF13CC" w:rsidP="00762314">
      <w:pPr>
        <w:pStyle w:val="DMB"/>
        <w:outlineLvl w:val="0"/>
      </w:pPr>
      <w:bookmarkStart w:id="435" w:name="__RefHeading___Toc7811_1147916741"/>
      <w:bookmarkStart w:id="436" w:name="_Toc238482023"/>
      <w:bookmarkStart w:id="437" w:name="_Toc226534663"/>
      <w:bookmarkStart w:id="438" w:name="_Toc241064397"/>
      <w:bookmarkStart w:id="439" w:name="_Toc241065548"/>
      <w:bookmarkEnd w:id="435"/>
      <w:r>
        <w:rPr>
          <w:iCs/>
        </w:rPr>
        <w:t>Bảng 4.</w:t>
      </w:r>
      <w:r>
        <w:rPr>
          <w:iCs/>
        </w:rPr>
        <w:fldChar w:fldCharType="begin"/>
      </w:r>
      <w:r>
        <w:rPr>
          <w:iCs/>
        </w:rPr>
        <w:instrText xml:space="preserve"> SEQ Hình_3. \* ARABIC </w:instrText>
      </w:r>
      <w:r>
        <w:rPr>
          <w:iCs/>
        </w:rPr>
        <w:fldChar w:fldCharType="separate"/>
      </w:r>
      <w:r w:rsidR="00783A1B">
        <w:rPr>
          <w:iCs/>
          <w:noProof/>
        </w:rPr>
        <w:t>1</w:t>
      </w:r>
      <w:r>
        <w:rPr>
          <w:iCs/>
        </w:rPr>
        <w:fldChar w:fldCharType="end"/>
      </w:r>
      <w:r>
        <w:rPr>
          <w:iCs/>
        </w:rPr>
        <w:t xml:space="preserve">. </w:t>
      </w:r>
      <w:r>
        <w:t>Thống kê kết quả câu hỏi sàng lọc (A2–A4)</w:t>
      </w:r>
      <w:bookmarkEnd w:id="436"/>
      <w:bookmarkEnd w:id="437"/>
      <w:bookmarkEnd w:id="438"/>
      <w:bookmarkEnd w:id="439"/>
    </w:p>
    <w:tbl>
      <w:tblPr>
        <w:tblW w:w="5000" w:type="pct"/>
        <w:tblLayout w:type="fixed"/>
        <w:tblLook w:val="04A0" w:firstRow="1" w:lastRow="0" w:firstColumn="1" w:lastColumn="0" w:noHBand="0" w:noVBand="1"/>
      </w:tblPr>
      <w:tblGrid>
        <w:gridCol w:w="2221"/>
        <w:gridCol w:w="3524"/>
        <w:gridCol w:w="1691"/>
        <w:gridCol w:w="1567"/>
      </w:tblGrid>
      <w:tr w:rsidR="00764EB5">
        <w:tc>
          <w:tcPr>
            <w:tcW w:w="218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b/>
                <w:bCs/>
                <w:color w:val="auto"/>
              </w:rPr>
            </w:pPr>
            <w:r>
              <w:rPr>
                <w:b/>
                <w:bCs/>
                <w:color w:val="auto"/>
              </w:rPr>
              <w:t>Nhân tố sàng lọc</w:t>
            </w:r>
          </w:p>
        </w:tc>
        <w:tc>
          <w:tcPr>
            <w:tcW w:w="346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b/>
                <w:bCs/>
                <w:color w:val="auto"/>
              </w:rPr>
            </w:pPr>
            <w:r>
              <w:rPr>
                <w:b/>
                <w:bCs/>
                <w:color w:val="auto"/>
              </w:rPr>
              <w:t>Đặc điểm</w:t>
            </w:r>
          </w:p>
        </w:tc>
        <w:tc>
          <w:tcPr>
            <w:tcW w:w="16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b/>
                <w:bCs/>
                <w:color w:val="auto"/>
              </w:rPr>
            </w:pPr>
            <w:r>
              <w:rPr>
                <w:b/>
                <w:bCs/>
                <w:color w:val="auto"/>
              </w:rPr>
              <w:t>Số lượng (n)</w:t>
            </w:r>
          </w:p>
        </w:tc>
        <w:tc>
          <w:tcPr>
            <w:tcW w:w="1539"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b/>
                <w:bCs/>
                <w:color w:val="auto"/>
              </w:rPr>
            </w:pPr>
            <w:r>
              <w:rPr>
                <w:b/>
                <w:bCs/>
                <w:color w:val="auto"/>
              </w:rPr>
              <w:t>Tỷ lệ (%)</w:t>
            </w:r>
          </w:p>
        </w:tc>
      </w:tr>
      <w:tr w:rsidR="00764EB5">
        <w:tc>
          <w:tcPr>
            <w:tcW w:w="2182" w:type="dxa"/>
            <w:vMerge w:val="restart"/>
            <w:tcBorders>
              <w:top w:val="single" w:sz="4" w:space="0" w:color="000000"/>
              <w:left w:val="single" w:sz="4" w:space="0" w:color="000000"/>
              <w:bottom w:val="single" w:sz="4" w:space="0" w:color="000000"/>
              <w:right w:val="single" w:sz="4" w:space="0" w:color="000000"/>
            </w:tcBorders>
            <w:vAlign w:val="center"/>
          </w:tcPr>
          <w:p w:rsidR="00764EB5" w:rsidRDefault="00DF13CC" w:rsidP="00296D82">
            <w:pPr>
              <w:spacing w:line="312" w:lineRule="auto"/>
              <w:ind w:firstLine="0"/>
              <w:jc w:val="left"/>
              <w:rPr>
                <w:color w:val="auto"/>
              </w:rPr>
            </w:pPr>
            <w:r>
              <w:rPr>
                <w:color w:val="auto"/>
              </w:rPr>
              <w:t>Phân bố theo khu vực khảo sát</w:t>
            </w:r>
          </w:p>
        </w:tc>
        <w:tc>
          <w:tcPr>
            <w:tcW w:w="346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rPr>
                <w:color w:val="auto"/>
              </w:rPr>
            </w:pPr>
            <w:r>
              <w:rPr>
                <w:color w:val="auto"/>
              </w:rPr>
              <w:t>TP.HCM (sau sáp nhập)</w:t>
            </w:r>
          </w:p>
        </w:tc>
        <w:tc>
          <w:tcPr>
            <w:tcW w:w="16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198</w:t>
            </w:r>
          </w:p>
        </w:tc>
        <w:tc>
          <w:tcPr>
            <w:tcW w:w="1539"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54,8</w:t>
            </w:r>
          </w:p>
        </w:tc>
      </w:tr>
      <w:tr w:rsidR="00764EB5">
        <w:tc>
          <w:tcPr>
            <w:tcW w:w="2182"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96D82">
            <w:pPr>
              <w:spacing w:line="312" w:lineRule="auto"/>
              <w:ind w:firstLine="0"/>
              <w:jc w:val="left"/>
              <w:rPr>
                <w:color w:val="auto"/>
              </w:rPr>
            </w:pPr>
          </w:p>
        </w:tc>
        <w:tc>
          <w:tcPr>
            <w:tcW w:w="346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rPr>
                <w:color w:val="auto"/>
              </w:rPr>
            </w:pPr>
            <w:r>
              <w:rPr>
                <w:color w:val="auto"/>
              </w:rPr>
              <w:t>Đồng Nai (sau sáp nhập)</w:t>
            </w:r>
          </w:p>
        </w:tc>
        <w:tc>
          <w:tcPr>
            <w:tcW w:w="16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104</w:t>
            </w:r>
          </w:p>
        </w:tc>
        <w:tc>
          <w:tcPr>
            <w:tcW w:w="1539"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28,8</w:t>
            </w:r>
          </w:p>
        </w:tc>
      </w:tr>
      <w:tr w:rsidR="00764EB5">
        <w:trPr>
          <w:trHeight w:val="131"/>
        </w:trPr>
        <w:tc>
          <w:tcPr>
            <w:tcW w:w="2182"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96D82">
            <w:pPr>
              <w:spacing w:line="312" w:lineRule="auto"/>
              <w:ind w:firstLine="0"/>
              <w:jc w:val="left"/>
              <w:rPr>
                <w:color w:val="auto"/>
              </w:rPr>
            </w:pPr>
          </w:p>
        </w:tc>
        <w:tc>
          <w:tcPr>
            <w:tcW w:w="346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rPr>
                <w:color w:val="auto"/>
              </w:rPr>
            </w:pPr>
            <w:r>
              <w:rPr>
                <w:color w:val="auto"/>
              </w:rPr>
              <w:t>Tây Ninh (sau sáp nhập)</w:t>
            </w:r>
          </w:p>
        </w:tc>
        <w:tc>
          <w:tcPr>
            <w:tcW w:w="16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59</w:t>
            </w:r>
          </w:p>
        </w:tc>
        <w:tc>
          <w:tcPr>
            <w:tcW w:w="1539"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16,4</w:t>
            </w:r>
          </w:p>
        </w:tc>
      </w:tr>
      <w:tr w:rsidR="00764EB5">
        <w:trPr>
          <w:trHeight w:val="324"/>
        </w:trPr>
        <w:tc>
          <w:tcPr>
            <w:tcW w:w="2182" w:type="dxa"/>
            <w:vMerge w:val="restart"/>
            <w:tcBorders>
              <w:top w:val="single" w:sz="4" w:space="0" w:color="000000"/>
              <w:left w:val="single" w:sz="4" w:space="0" w:color="000000"/>
              <w:bottom w:val="single" w:sz="4" w:space="0" w:color="000000"/>
              <w:right w:val="single" w:sz="4" w:space="0" w:color="000000"/>
            </w:tcBorders>
            <w:vAlign w:val="center"/>
          </w:tcPr>
          <w:p w:rsidR="00764EB5" w:rsidRDefault="00DF13CC" w:rsidP="00296D82">
            <w:pPr>
              <w:spacing w:line="312" w:lineRule="auto"/>
              <w:ind w:firstLine="0"/>
              <w:jc w:val="left"/>
              <w:rPr>
                <w:color w:val="auto"/>
              </w:rPr>
            </w:pPr>
            <w:r>
              <w:rPr>
                <w:color w:val="auto"/>
              </w:rPr>
              <w:t>Nhu cầu mua căn hộ chung cư</w:t>
            </w:r>
          </w:p>
        </w:tc>
        <w:tc>
          <w:tcPr>
            <w:tcW w:w="346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rPr>
                <w:b/>
                <w:bCs/>
                <w:color w:val="auto"/>
              </w:rPr>
            </w:pPr>
            <w:r>
              <w:rPr>
                <w:color w:val="auto"/>
              </w:rPr>
              <w:t>Đã từng mua</w:t>
            </w:r>
          </w:p>
        </w:tc>
        <w:tc>
          <w:tcPr>
            <w:tcW w:w="16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b/>
                <w:bCs/>
                <w:color w:val="auto"/>
              </w:rPr>
            </w:pPr>
            <w:r>
              <w:rPr>
                <w:color w:val="auto"/>
              </w:rPr>
              <w:t>92</w:t>
            </w:r>
          </w:p>
        </w:tc>
        <w:tc>
          <w:tcPr>
            <w:tcW w:w="1539"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b/>
                <w:bCs/>
                <w:color w:val="auto"/>
              </w:rPr>
            </w:pPr>
            <w:r>
              <w:rPr>
                <w:color w:val="auto"/>
              </w:rPr>
              <w:t>25,5</w:t>
            </w:r>
          </w:p>
        </w:tc>
      </w:tr>
      <w:tr w:rsidR="00764EB5">
        <w:tc>
          <w:tcPr>
            <w:tcW w:w="2182"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96D82">
            <w:pPr>
              <w:spacing w:line="312" w:lineRule="auto"/>
              <w:ind w:firstLine="0"/>
              <w:jc w:val="left"/>
              <w:rPr>
                <w:color w:val="auto"/>
              </w:rPr>
            </w:pPr>
          </w:p>
        </w:tc>
        <w:tc>
          <w:tcPr>
            <w:tcW w:w="346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rPr>
                <w:color w:val="auto"/>
              </w:rPr>
            </w:pPr>
            <w:r>
              <w:rPr>
                <w:color w:val="auto"/>
              </w:rPr>
              <w:t>Đang cân nhắc</w:t>
            </w:r>
          </w:p>
        </w:tc>
        <w:tc>
          <w:tcPr>
            <w:tcW w:w="16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149</w:t>
            </w:r>
          </w:p>
        </w:tc>
        <w:tc>
          <w:tcPr>
            <w:tcW w:w="1539"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41,3</w:t>
            </w:r>
          </w:p>
        </w:tc>
      </w:tr>
      <w:tr w:rsidR="00764EB5">
        <w:tc>
          <w:tcPr>
            <w:tcW w:w="2182"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96D82">
            <w:pPr>
              <w:spacing w:line="312" w:lineRule="auto"/>
              <w:ind w:firstLine="0"/>
              <w:jc w:val="left"/>
              <w:rPr>
                <w:color w:val="auto"/>
              </w:rPr>
            </w:pPr>
          </w:p>
        </w:tc>
        <w:tc>
          <w:tcPr>
            <w:tcW w:w="346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rPr>
                <w:color w:val="auto"/>
              </w:rPr>
            </w:pPr>
            <w:r>
              <w:rPr>
                <w:color w:val="auto"/>
              </w:rPr>
              <w:t>Có nhu cầu trong tương lai</w:t>
            </w:r>
          </w:p>
        </w:tc>
        <w:tc>
          <w:tcPr>
            <w:tcW w:w="16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120</w:t>
            </w:r>
          </w:p>
        </w:tc>
        <w:tc>
          <w:tcPr>
            <w:tcW w:w="1539"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33,2</w:t>
            </w:r>
          </w:p>
        </w:tc>
      </w:tr>
      <w:tr w:rsidR="00764EB5">
        <w:trPr>
          <w:trHeight w:val="271"/>
        </w:trPr>
        <w:tc>
          <w:tcPr>
            <w:tcW w:w="2182" w:type="dxa"/>
            <w:vMerge w:val="restart"/>
            <w:tcBorders>
              <w:top w:val="single" w:sz="4" w:space="0" w:color="000000"/>
              <w:left w:val="single" w:sz="4" w:space="0" w:color="000000"/>
              <w:bottom w:val="single" w:sz="4" w:space="0" w:color="000000"/>
              <w:right w:val="single" w:sz="4" w:space="0" w:color="000000"/>
            </w:tcBorders>
            <w:vAlign w:val="center"/>
          </w:tcPr>
          <w:p w:rsidR="00764EB5" w:rsidRDefault="00DF13CC" w:rsidP="00296D82">
            <w:pPr>
              <w:spacing w:line="312" w:lineRule="auto"/>
              <w:ind w:firstLine="0"/>
              <w:jc w:val="left"/>
              <w:rPr>
                <w:color w:val="auto"/>
              </w:rPr>
            </w:pPr>
            <w:r>
              <w:rPr>
                <w:color w:val="auto"/>
              </w:rPr>
              <w:t>Mức độ tham gia quyết định mua</w:t>
            </w:r>
          </w:p>
        </w:tc>
        <w:tc>
          <w:tcPr>
            <w:tcW w:w="346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rPr>
                <w:b/>
                <w:bCs/>
                <w:color w:val="auto"/>
              </w:rPr>
            </w:pPr>
            <w:r>
              <w:rPr>
                <w:color w:val="auto"/>
              </w:rPr>
              <w:t>Người quyết định chính</w:t>
            </w:r>
          </w:p>
        </w:tc>
        <w:tc>
          <w:tcPr>
            <w:tcW w:w="16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b/>
                <w:bCs/>
                <w:color w:val="auto"/>
              </w:rPr>
            </w:pPr>
            <w:r>
              <w:rPr>
                <w:color w:val="auto"/>
              </w:rPr>
              <w:t>173</w:t>
            </w:r>
          </w:p>
        </w:tc>
        <w:tc>
          <w:tcPr>
            <w:tcW w:w="1539"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b/>
                <w:bCs/>
                <w:color w:val="auto"/>
              </w:rPr>
            </w:pPr>
            <w:r>
              <w:rPr>
                <w:color w:val="auto"/>
              </w:rPr>
              <w:t>47,9</w:t>
            </w:r>
          </w:p>
        </w:tc>
      </w:tr>
      <w:tr w:rsidR="00764EB5">
        <w:tc>
          <w:tcPr>
            <w:tcW w:w="2182" w:type="dxa"/>
            <w:vMerge/>
            <w:tcBorders>
              <w:top w:val="single" w:sz="4" w:space="0" w:color="000000"/>
              <w:left w:val="single" w:sz="4" w:space="0" w:color="000000"/>
              <w:bottom w:val="single" w:sz="4" w:space="0" w:color="000000"/>
              <w:right w:val="single" w:sz="4" w:space="0" w:color="000000"/>
            </w:tcBorders>
          </w:tcPr>
          <w:p w:rsidR="00764EB5" w:rsidRDefault="00764EB5" w:rsidP="00296D82">
            <w:pPr>
              <w:spacing w:line="312" w:lineRule="auto"/>
              <w:ind w:firstLine="0"/>
              <w:rPr>
                <w:color w:val="auto"/>
              </w:rPr>
            </w:pPr>
          </w:p>
        </w:tc>
        <w:tc>
          <w:tcPr>
            <w:tcW w:w="3462"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rPr>
                <w:color w:val="auto"/>
              </w:rPr>
            </w:pPr>
            <w:r>
              <w:rPr>
                <w:color w:val="auto"/>
              </w:rPr>
              <w:t>Có tham gia</w:t>
            </w:r>
          </w:p>
        </w:tc>
        <w:tc>
          <w:tcPr>
            <w:tcW w:w="16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188</w:t>
            </w:r>
          </w:p>
        </w:tc>
        <w:tc>
          <w:tcPr>
            <w:tcW w:w="1539"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color w:val="auto"/>
              </w:rPr>
              <w:t>52,1</w:t>
            </w:r>
          </w:p>
        </w:tc>
      </w:tr>
      <w:tr w:rsidR="00764EB5">
        <w:tc>
          <w:tcPr>
            <w:tcW w:w="5644" w:type="dxa"/>
            <w:gridSpan w:val="2"/>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b/>
                <w:bCs/>
                <w:color w:val="auto"/>
              </w:rPr>
              <w:t>Tổng</w:t>
            </w:r>
          </w:p>
        </w:tc>
        <w:tc>
          <w:tcPr>
            <w:tcW w:w="1661"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b/>
                <w:bCs/>
                <w:color w:val="auto"/>
              </w:rPr>
              <w:t>361</w:t>
            </w:r>
          </w:p>
        </w:tc>
        <w:tc>
          <w:tcPr>
            <w:tcW w:w="1539" w:type="dxa"/>
            <w:tcBorders>
              <w:top w:val="single" w:sz="4" w:space="0" w:color="000000"/>
              <w:left w:val="single" w:sz="4" w:space="0" w:color="000000"/>
              <w:bottom w:val="single" w:sz="4" w:space="0" w:color="000000"/>
              <w:right w:val="single" w:sz="4" w:space="0" w:color="000000"/>
            </w:tcBorders>
          </w:tcPr>
          <w:p w:rsidR="00764EB5" w:rsidRDefault="00DF13CC" w:rsidP="00296D82">
            <w:pPr>
              <w:spacing w:line="312" w:lineRule="auto"/>
              <w:ind w:firstLine="0"/>
              <w:jc w:val="center"/>
              <w:rPr>
                <w:color w:val="auto"/>
              </w:rPr>
            </w:pPr>
            <w:r>
              <w:rPr>
                <w:b/>
                <w:bCs/>
                <w:color w:val="auto"/>
              </w:rPr>
              <w:t>100,0</w:t>
            </w:r>
          </w:p>
        </w:tc>
      </w:tr>
    </w:tbl>
    <w:p w:rsidR="00764EB5" w:rsidRDefault="00DF13CC" w:rsidP="003D6B28">
      <w:pPr>
        <w:jc w:val="center"/>
        <w:rPr>
          <w:i/>
          <w:iCs/>
          <w:color w:val="auto"/>
        </w:rPr>
      </w:pPr>
      <w:r>
        <w:rPr>
          <w:i/>
          <w:iCs/>
          <w:color w:val="auto"/>
        </w:rPr>
        <w:t>(Nguồn: Từ kết quả khảo sát của tác giả)</w:t>
      </w:r>
    </w:p>
    <w:p w:rsidR="00764EB5" w:rsidRPr="00762314" w:rsidRDefault="00DF13CC" w:rsidP="002124B8">
      <w:pPr>
        <w:spacing w:line="348" w:lineRule="auto"/>
        <w:rPr>
          <w:color w:val="auto"/>
          <w:spacing w:val="-4"/>
        </w:rPr>
      </w:pPr>
      <w:r w:rsidRPr="00762314">
        <w:rPr>
          <w:color w:val="auto"/>
          <w:spacing w:val="-4"/>
        </w:rPr>
        <w:t>Kết quả sàng lọc cho thấy dữ liệu cuối cùng bao gồm người trả lời tại TP. Hồ Chí Minh, Đồng Nai và Tây Ninh, đồng thời bao quát các trạng thái khác nhau trong tiến trình mua căn hộ. Việc sử dụng tiêu chí sàng lọc không nhằm tạo ra một mẫu đại diện xác suất cho toàn bộ người mua căn hộ tại vùng Đông Nam Bộ, mà nhằm bảo đảm rằng những người tham gia khảo sát có mức độ liên quan thực tế với vấn đề nghiên cứu và đủ điều kiện để trả lời các câu hỏi về Thái độ, Chuẩn chủ quan, Nhận thức kiểm soát hành vi, Giá trị cảm nhận, Ý định mua và mức độ sẵn sàng ra quyết định mua.</w:t>
      </w:r>
    </w:p>
    <w:p w:rsidR="00764EB5" w:rsidRPr="00762314" w:rsidRDefault="00DF13CC" w:rsidP="002124B8">
      <w:pPr>
        <w:spacing w:line="348" w:lineRule="auto"/>
        <w:rPr>
          <w:color w:val="auto"/>
          <w:spacing w:val="-2"/>
        </w:rPr>
      </w:pPr>
      <w:r w:rsidRPr="00762314">
        <w:rPr>
          <w:color w:val="auto"/>
          <w:spacing w:val="-2"/>
        </w:rPr>
        <w:t>Đây là điểm cần phân biệt rõ về phương pháp. Một mẫu có số lượng quan sát phù hợp và đáp ứng tiêu chí sàng lọc có thể cung cấp cơ sở để kiểm định các quan hệ trong mô hình, nhưng không tự động tạo ra tính đại diện thống kê cho tổng thể. Do nghiên cứu sử dụng phương pháp chọn mẫu phi xác suất, các kết quả trong Chương 4 được hiểu là bằng chứng thực nghiệm đối với cấu trúc quan hệ trong mẫu nghiên cứu, không phải các tham số tuyệt đối của toàn bộ người mua căn hộ ở Đông Nam Bộ.</w:t>
      </w:r>
    </w:p>
    <w:p w:rsidR="00764EB5" w:rsidRDefault="00DF13CC" w:rsidP="003D6B28">
      <w:pPr>
        <w:rPr>
          <w:color w:val="auto"/>
        </w:rPr>
      </w:pPr>
      <w:r>
        <w:rPr>
          <w:color w:val="auto"/>
        </w:rPr>
        <w:t xml:space="preserve">Mặt khác, việc thu thập dữ liệu tại ba địa bàn có trình độ phát triển thị trường khác nhau tạo ra sự đa dạng nhất định về bối cảnh. TP. Hồ Chí Minh đại diện cho thị trường căn hộ phát triển tương đối cao; Đồng Nai gắn mạnh với công nghiệp, logistics và sự mở rộng không gian đô thị; Tây Ninh có đặc điểm của một thị trường </w:t>
      </w:r>
      <w:r>
        <w:rPr>
          <w:color w:val="auto"/>
        </w:rPr>
        <w:lastRenderedPageBreak/>
        <w:t>căn hộ đang trong quá trình hình thành. Sự đa dạng này làm tăng giá trị bối cảnh của dữ liệu, nhưng do luận án không thực hiện kiểm định đa nhóm giữa các địa phương, kết quả không được sử dụng để khẳng định hệ số tác động tại địa phương này cao hoặc thấp hơn địa phương khác.</w:t>
      </w:r>
    </w:p>
    <w:p w:rsidR="00764EB5" w:rsidRDefault="00DF13CC" w:rsidP="003D6B28">
      <w:pPr>
        <w:rPr>
          <w:color w:val="auto"/>
        </w:rPr>
      </w:pPr>
      <w:r>
        <w:rPr>
          <w:color w:val="auto"/>
        </w:rPr>
        <w:t>Như vậy, bộ dữ liệu 361 quan sát đáp ứng mục tiêu kiểm định mô hình TPB mở rộng trong phạm vi nghiên cứu, đồng thời yêu cầu việc diễn giải kết quả phải tuân thủ nguyên tắc không suy rộng vượt quá thiết kế mẫu.</w:t>
      </w:r>
    </w:p>
    <w:p w:rsidR="00764EB5" w:rsidRDefault="00DF13CC" w:rsidP="00021C6B">
      <w:pPr>
        <w:pStyle w:val="Heading3"/>
        <w:rPr>
          <w:b w:val="0"/>
        </w:rPr>
      </w:pPr>
      <w:bookmarkStart w:id="440" w:name="_Toc234224131"/>
      <w:bookmarkStart w:id="441" w:name="_Toc241062471"/>
      <w:bookmarkStart w:id="442" w:name="_Toc241064398"/>
      <w:bookmarkStart w:id="443" w:name="_Toc241065331"/>
      <w:bookmarkStart w:id="444" w:name="_Toc241065549"/>
      <w:r w:rsidRPr="00762314">
        <w:rPr>
          <w:b w:val="0"/>
        </w:rPr>
        <w:t>4.2.1.2. Đặc điểm  của mẫu</w:t>
      </w:r>
      <w:bookmarkEnd w:id="440"/>
      <w:bookmarkEnd w:id="441"/>
      <w:bookmarkEnd w:id="442"/>
      <w:bookmarkEnd w:id="443"/>
      <w:bookmarkEnd w:id="444"/>
    </w:p>
    <w:p w:rsidR="00764EB5" w:rsidRDefault="00DF13CC" w:rsidP="00762314">
      <w:pPr>
        <w:pStyle w:val="DMB"/>
        <w:outlineLvl w:val="0"/>
        <w:rPr>
          <w:i w:val="0"/>
        </w:rPr>
      </w:pPr>
      <w:bookmarkStart w:id="445" w:name="__RefHeading___Toc7809_1147916741"/>
      <w:bookmarkStart w:id="446" w:name="_Toc204356799"/>
      <w:bookmarkStart w:id="447" w:name="_Toc238482024"/>
      <w:bookmarkStart w:id="448" w:name="_Toc226534664"/>
      <w:bookmarkStart w:id="449" w:name="_Toc241064399"/>
      <w:bookmarkStart w:id="450" w:name="_Toc241065550"/>
      <w:bookmarkEnd w:id="445"/>
      <w:r>
        <w:t>Bảng 4.</w:t>
      </w:r>
      <w:r w:rsidR="002E378C">
        <w:fldChar w:fldCharType="begin"/>
      </w:r>
      <w:r w:rsidR="002E378C">
        <w:instrText xml:space="preserve"> SEQ Hình_3. \* ARABIC </w:instrText>
      </w:r>
      <w:r w:rsidR="002E378C">
        <w:fldChar w:fldCharType="separate"/>
      </w:r>
      <w:r w:rsidR="00783A1B">
        <w:rPr>
          <w:noProof/>
        </w:rPr>
        <w:t>2</w:t>
      </w:r>
      <w:r w:rsidR="002E378C">
        <w:rPr>
          <w:noProof/>
        </w:rPr>
        <w:fldChar w:fldCharType="end"/>
      </w:r>
      <w:r>
        <w:t>. Thống kê mẫu khảo sát</w:t>
      </w:r>
      <w:bookmarkEnd w:id="446"/>
      <w:bookmarkEnd w:id="447"/>
      <w:bookmarkEnd w:id="448"/>
      <w:bookmarkEnd w:id="449"/>
      <w:bookmarkEnd w:id="450"/>
    </w:p>
    <w:tbl>
      <w:tblPr>
        <w:tblW w:w="5000" w:type="pct"/>
        <w:tblLayout w:type="fixed"/>
        <w:tblLook w:val="04A0" w:firstRow="1" w:lastRow="0" w:firstColumn="1" w:lastColumn="0" w:noHBand="0" w:noVBand="1"/>
      </w:tblPr>
      <w:tblGrid>
        <w:gridCol w:w="1784"/>
        <w:gridCol w:w="2830"/>
        <w:gridCol w:w="1409"/>
        <w:gridCol w:w="1408"/>
        <w:gridCol w:w="1572"/>
      </w:tblGrid>
      <w:tr w:rsidR="00764EB5" w:rsidTr="002124B8">
        <w:trPr>
          <w:trHeight w:val="699"/>
        </w:trPr>
        <w:tc>
          <w:tcPr>
            <w:tcW w:w="1795" w:type="dxa"/>
            <w:tcBorders>
              <w:top w:val="single" w:sz="4" w:space="0" w:color="000000"/>
              <w:left w:val="single" w:sz="4" w:space="0" w:color="000000"/>
              <w:bottom w:val="single" w:sz="4" w:space="0" w:color="000000"/>
              <w:right w:val="single" w:sz="4" w:space="0" w:color="000000"/>
            </w:tcBorders>
            <w:vAlign w:val="center"/>
          </w:tcPr>
          <w:p w:rsidR="00764EB5" w:rsidRDefault="00DF13CC" w:rsidP="006575F3">
            <w:pPr>
              <w:spacing w:line="312" w:lineRule="auto"/>
              <w:ind w:firstLine="0"/>
              <w:jc w:val="center"/>
              <w:rPr>
                <w:b/>
                <w:bCs/>
                <w:szCs w:val="26"/>
              </w:rPr>
            </w:pPr>
            <w:r>
              <w:rPr>
                <w:b/>
                <w:bCs/>
                <w:szCs w:val="26"/>
              </w:rPr>
              <w:t>Đặc điểm</w:t>
            </w:r>
          </w:p>
        </w:tc>
        <w:tc>
          <w:tcPr>
            <w:tcW w:w="2849" w:type="dxa"/>
            <w:tcBorders>
              <w:top w:val="single" w:sz="4" w:space="0" w:color="000000"/>
              <w:left w:val="single" w:sz="4" w:space="0" w:color="000000"/>
              <w:bottom w:val="single" w:sz="4" w:space="0" w:color="000000"/>
              <w:right w:val="single" w:sz="4" w:space="0" w:color="000000"/>
            </w:tcBorders>
            <w:vAlign w:val="center"/>
          </w:tcPr>
          <w:p w:rsidR="00764EB5" w:rsidRDefault="00DF13CC" w:rsidP="006575F3">
            <w:pPr>
              <w:spacing w:line="312" w:lineRule="auto"/>
              <w:ind w:firstLine="0"/>
              <w:jc w:val="center"/>
              <w:rPr>
                <w:b/>
                <w:bCs/>
                <w:szCs w:val="26"/>
              </w:rPr>
            </w:pPr>
            <w:r>
              <w:rPr>
                <w:b/>
                <w:bCs/>
                <w:szCs w:val="26"/>
              </w:rPr>
              <w:t>Mô tả</w:t>
            </w:r>
          </w:p>
        </w:tc>
        <w:tc>
          <w:tcPr>
            <w:tcW w:w="1418" w:type="dxa"/>
            <w:tcBorders>
              <w:top w:val="single" w:sz="4" w:space="0" w:color="000000"/>
              <w:left w:val="single" w:sz="4" w:space="0" w:color="000000"/>
              <w:bottom w:val="single" w:sz="4" w:space="0" w:color="000000"/>
              <w:right w:val="single" w:sz="4" w:space="0" w:color="000000"/>
            </w:tcBorders>
            <w:vAlign w:val="center"/>
          </w:tcPr>
          <w:p w:rsidR="00764EB5" w:rsidRDefault="00DF13CC" w:rsidP="006575F3">
            <w:pPr>
              <w:spacing w:line="312" w:lineRule="auto"/>
              <w:ind w:firstLine="0"/>
              <w:jc w:val="center"/>
              <w:rPr>
                <w:b/>
                <w:bCs/>
                <w:szCs w:val="26"/>
              </w:rPr>
            </w:pPr>
            <w:r>
              <w:rPr>
                <w:b/>
                <w:bCs/>
                <w:szCs w:val="26"/>
              </w:rPr>
              <w:t>Số lượng</w:t>
            </w:r>
          </w:p>
        </w:tc>
        <w:tc>
          <w:tcPr>
            <w:tcW w:w="1417" w:type="dxa"/>
            <w:tcBorders>
              <w:top w:val="single" w:sz="4" w:space="0" w:color="000000"/>
              <w:left w:val="single" w:sz="4" w:space="0" w:color="000000"/>
              <w:bottom w:val="single" w:sz="4" w:space="0" w:color="000000"/>
              <w:right w:val="single" w:sz="4" w:space="0" w:color="000000"/>
            </w:tcBorders>
            <w:vAlign w:val="center"/>
          </w:tcPr>
          <w:p w:rsidR="00764EB5" w:rsidRDefault="00DF13CC" w:rsidP="006575F3">
            <w:pPr>
              <w:spacing w:line="312" w:lineRule="auto"/>
              <w:ind w:firstLine="0"/>
              <w:jc w:val="center"/>
              <w:rPr>
                <w:b/>
                <w:bCs/>
                <w:szCs w:val="26"/>
              </w:rPr>
            </w:pPr>
            <w:r>
              <w:rPr>
                <w:b/>
                <w:bCs/>
                <w:szCs w:val="26"/>
              </w:rPr>
              <w:t>Phần trăm</w:t>
            </w:r>
          </w:p>
        </w:tc>
        <w:tc>
          <w:tcPr>
            <w:tcW w:w="1582" w:type="dxa"/>
            <w:tcBorders>
              <w:top w:val="single" w:sz="4" w:space="0" w:color="000000"/>
              <w:left w:val="single" w:sz="4" w:space="0" w:color="000000"/>
              <w:bottom w:val="single" w:sz="4" w:space="0" w:color="000000"/>
              <w:right w:val="single" w:sz="4" w:space="0" w:color="000000"/>
            </w:tcBorders>
            <w:vAlign w:val="center"/>
          </w:tcPr>
          <w:p w:rsidR="00764EB5" w:rsidRDefault="00DF13CC" w:rsidP="006575F3">
            <w:pPr>
              <w:spacing w:line="312" w:lineRule="auto"/>
              <w:ind w:firstLine="0"/>
              <w:jc w:val="center"/>
              <w:rPr>
                <w:b/>
                <w:bCs/>
                <w:szCs w:val="26"/>
              </w:rPr>
            </w:pPr>
            <w:r>
              <w:rPr>
                <w:b/>
                <w:bCs/>
                <w:szCs w:val="26"/>
              </w:rPr>
              <w:t>Phần trăm lũy tích</w:t>
            </w:r>
          </w:p>
        </w:tc>
      </w:tr>
      <w:tr w:rsidR="00764EB5" w:rsidTr="002124B8">
        <w:tc>
          <w:tcPr>
            <w:tcW w:w="1795" w:type="dxa"/>
            <w:vMerge w:val="restart"/>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ind w:firstLine="0"/>
              <w:jc w:val="center"/>
              <w:rPr>
                <w:szCs w:val="26"/>
              </w:rPr>
            </w:pPr>
            <w:r>
              <w:rPr>
                <w:szCs w:val="26"/>
              </w:rPr>
              <w:t>Giới tính</w:t>
            </w: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Nam</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173</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47,9</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47,9</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Nữ</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188</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52,1</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100,0</w:t>
            </w:r>
          </w:p>
        </w:tc>
      </w:tr>
      <w:tr w:rsidR="00764EB5" w:rsidTr="002124B8">
        <w:tc>
          <w:tcPr>
            <w:tcW w:w="1795" w:type="dxa"/>
            <w:vMerge w:val="restart"/>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ind w:firstLine="0"/>
              <w:jc w:val="center"/>
              <w:rPr>
                <w:szCs w:val="26"/>
              </w:rPr>
            </w:pPr>
            <w:r>
              <w:rPr>
                <w:szCs w:val="26"/>
              </w:rPr>
              <w:t>Độ tuổi</w:t>
            </w: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&lt;25</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58</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16,1</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16,1</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25-34</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103</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28,5</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44,6</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35-44</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98</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27,1</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71,7</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45-54</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89</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24,7</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96,4</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Từ 55 trở lên</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13</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3,6</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100,0</w:t>
            </w:r>
          </w:p>
        </w:tc>
      </w:tr>
      <w:tr w:rsidR="00764EB5" w:rsidTr="002124B8">
        <w:tc>
          <w:tcPr>
            <w:tcW w:w="1795" w:type="dxa"/>
            <w:vMerge w:val="restart"/>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ind w:firstLine="0"/>
              <w:jc w:val="center"/>
              <w:rPr>
                <w:szCs w:val="26"/>
              </w:rPr>
            </w:pPr>
            <w:r>
              <w:rPr>
                <w:szCs w:val="26"/>
              </w:rPr>
              <w:t>Tình trạng hôn nhân</w:t>
            </w: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Độc thân</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47</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13,0</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13,0</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Đã kết hôn</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208</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57,6</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70,6</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Khác</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106</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29,4</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100,0</w:t>
            </w:r>
          </w:p>
        </w:tc>
      </w:tr>
      <w:tr w:rsidR="00764EB5" w:rsidTr="002124B8">
        <w:tc>
          <w:tcPr>
            <w:tcW w:w="1795" w:type="dxa"/>
            <w:vMerge w:val="restart"/>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ind w:firstLine="0"/>
              <w:jc w:val="center"/>
              <w:rPr>
                <w:szCs w:val="26"/>
              </w:rPr>
            </w:pPr>
            <w:r>
              <w:rPr>
                <w:szCs w:val="26"/>
              </w:rPr>
              <w:t>Trình độ học vấn</w:t>
            </w: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THPT</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41</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11,4</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11,4</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Cao đẳng/Trung cấp</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121</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33,5</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44,9</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Đại học</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75</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20,8</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65,7</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Sau đại học</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53</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14,7</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80,3</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Khác</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71</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19,7</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100,0</w:t>
            </w:r>
          </w:p>
        </w:tc>
      </w:tr>
      <w:tr w:rsidR="00764EB5" w:rsidTr="002124B8">
        <w:tc>
          <w:tcPr>
            <w:tcW w:w="1795" w:type="dxa"/>
            <w:vMerge w:val="restart"/>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ind w:firstLine="0"/>
              <w:jc w:val="center"/>
              <w:rPr>
                <w:szCs w:val="26"/>
              </w:rPr>
            </w:pPr>
            <w:r>
              <w:rPr>
                <w:szCs w:val="26"/>
              </w:rPr>
              <w:t>Nghề nghiệp</w:t>
            </w: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Nhân viên</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208</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57,6</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57,6</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Kinh doanh</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47</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13,0</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70,6</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Quản lý</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73</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20,2</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90,9</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Công nhân</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33</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9,1</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100,0</w:t>
            </w:r>
          </w:p>
        </w:tc>
      </w:tr>
      <w:tr w:rsidR="00764EB5" w:rsidTr="002124B8">
        <w:tc>
          <w:tcPr>
            <w:tcW w:w="1795" w:type="dxa"/>
            <w:vMerge w:val="restart"/>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ind w:firstLine="0"/>
              <w:jc w:val="center"/>
              <w:rPr>
                <w:szCs w:val="26"/>
              </w:rPr>
            </w:pPr>
            <w:r>
              <w:rPr>
                <w:szCs w:val="26"/>
              </w:rPr>
              <w:lastRenderedPageBreak/>
              <w:t>Thu nhập tháng</w:t>
            </w: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&lt; 10 triệu</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51</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14,1</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14,1</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10 đến dưới 20 triệu</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77</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21,3</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35,5</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20 đến dưới 30 triệu</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112</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31,0</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66,5</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30 đến dưới 50 triệu</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100</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27,7</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94,2</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Từ 50 triệu trở lên</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21</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5,8</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100,0</w:t>
            </w:r>
          </w:p>
        </w:tc>
      </w:tr>
      <w:tr w:rsidR="00764EB5" w:rsidTr="002124B8">
        <w:tc>
          <w:tcPr>
            <w:tcW w:w="1795" w:type="dxa"/>
            <w:vMerge w:val="restart"/>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ind w:firstLine="0"/>
              <w:jc w:val="center"/>
              <w:rPr>
                <w:szCs w:val="26"/>
              </w:rPr>
            </w:pPr>
            <w:r>
              <w:rPr>
                <w:szCs w:val="26"/>
              </w:rPr>
              <w:t>Hình thức cư trú hiện nay</w:t>
            </w: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Nhà riêng</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150</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41,6</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41,6</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Ở cùng gia đình</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109</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30,2</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71,7</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Thuê nhà/căn hộ</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80</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22,2</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93,9</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Khác</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22</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6,1</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100,0</w:t>
            </w:r>
          </w:p>
        </w:tc>
      </w:tr>
      <w:tr w:rsidR="00764EB5" w:rsidTr="002124B8">
        <w:tc>
          <w:tcPr>
            <w:tcW w:w="1795" w:type="dxa"/>
            <w:vMerge w:val="restart"/>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ind w:firstLine="0"/>
              <w:jc w:val="center"/>
              <w:rPr>
                <w:szCs w:val="26"/>
              </w:rPr>
            </w:pPr>
            <w:r>
              <w:rPr>
                <w:szCs w:val="26"/>
              </w:rPr>
              <w:t>Kinh nghiệm mua bất động sản</w:t>
            </w: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Chưa từng</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145</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40,2</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40,2</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Đã tìm hiểu</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114</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31,6</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71,7</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Đã mua 1 lần</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82</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22,7</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94,5</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≥2 lần</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20</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5,5</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100,0</w:t>
            </w:r>
          </w:p>
        </w:tc>
      </w:tr>
      <w:tr w:rsidR="00764EB5" w:rsidTr="002124B8">
        <w:tc>
          <w:tcPr>
            <w:tcW w:w="1795" w:type="dxa"/>
            <w:vMerge w:val="restart"/>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ind w:firstLine="0"/>
              <w:jc w:val="center"/>
              <w:rPr>
                <w:szCs w:val="26"/>
              </w:rPr>
            </w:pPr>
            <w:r>
              <w:rPr>
                <w:szCs w:val="26"/>
              </w:rPr>
              <w:t>Ngân sách dự kiến mua căn hộ</w:t>
            </w: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&lt; 1,5 tỷ</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171</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47,4</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47,4</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1,5 đến dưới 2,5 tỷ</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185</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51,2</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98,6</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2,5 đến dưới 4 tỷ</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,3</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98,9</w:t>
            </w:r>
          </w:p>
        </w:tc>
      </w:tr>
      <w:tr w:rsidR="00764EB5" w:rsidTr="002124B8">
        <w:tc>
          <w:tcPr>
            <w:tcW w:w="1795" w:type="dxa"/>
            <w:vMerge/>
            <w:tcBorders>
              <w:top w:val="single" w:sz="4" w:space="0" w:color="000000"/>
              <w:left w:val="single" w:sz="4" w:space="0" w:color="000000"/>
              <w:bottom w:val="single" w:sz="4" w:space="0" w:color="000000"/>
              <w:right w:val="single" w:sz="4" w:space="0" w:color="000000"/>
            </w:tcBorders>
            <w:vAlign w:val="center"/>
          </w:tcPr>
          <w:p w:rsidR="00764EB5" w:rsidRDefault="00764EB5" w:rsidP="002124B8">
            <w:pPr>
              <w:ind w:firstLine="0"/>
              <w:jc w:val="center"/>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4 đến dưới 6 tỷ</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1,1</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100,0</w:t>
            </w:r>
          </w:p>
        </w:tc>
      </w:tr>
      <w:tr w:rsidR="00764EB5" w:rsidTr="002124B8">
        <w:tc>
          <w:tcPr>
            <w:tcW w:w="1795" w:type="dxa"/>
            <w:vMerge w:val="restart"/>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ind w:firstLine="0"/>
              <w:jc w:val="center"/>
              <w:rPr>
                <w:szCs w:val="26"/>
              </w:rPr>
            </w:pPr>
            <w:r>
              <w:rPr>
                <w:szCs w:val="26"/>
              </w:rPr>
              <w:t>Nguồn tài chính</w:t>
            </w: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Vốn tự có</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164</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45,4</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45,4</w:t>
            </w:r>
          </w:p>
        </w:tc>
      </w:tr>
      <w:tr w:rsidR="00764EB5">
        <w:tc>
          <w:tcPr>
            <w:tcW w:w="1795" w:type="dxa"/>
            <w:vMerge/>
            <w:tcBorders>
              <w:top w:val="single" w:sz="4" w:space="0" w:color="000000"/>
              <w:left w:val="single" w:sz="4" w:space="0" w:color="000000"/>
              <w:bottom w:val="single" w:sz="4" w:space="0" w:color="000000"/>
              <w:right w:val="single" w:sz="4" w:space="0" w:color="000000"/>
            </w:tcBorders>
          </w:tcPr>
          <w:p w:rsidR="00764EB5" w:rsidRDefault="00764EB5" w:rsidP="002124B8">
            <w:pPr>
              <w:ind w:firstLine="0"/>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Vốn + vay</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179</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49,6</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95,0</w:t>
            </w:r>
          </w:p>
        </w:tc>
      </w:tr>
      <w:tr w:rsidR="00764EB5">
        <w:tc>
          <w:tcPr>
            <w:tcW w:w="1795" w:type="dxa"/>
            <w:vMerge/>
            <w:tcBorders>
              <w:top w:val="single" w:sz="4" w:space="0" w:color="000000"/>
              <w:left w:val="single" w:sz="4" w:space="0" w:color="000000"/>
              <w:bottom w:val="single" w:sz="4" w:space="0" w:color="000000"/>
              <w:right w:val="single" w:sz="4" w:space="0" w:color="000000"/>
            </w:tcBorders>
          </w:tcPr>
          <w:p w:rsidR="00764EB5" w:rsidRDefault="00764EB5" w:rsidP="002124B8">
            <w:pPr>
              <w:ind w:firstLine="0"/>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Chủ yếu vay</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5</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1,4</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96,4</w:t>
            </w:r>
          </w:p>
        </w:tc>
      </w:tr>
      <w:tr w:rsidR="00764EB5">
        <w:tc>
          <w:tcPr>
            <w:tcW w:w="1795" w:type="dxa"/>
            <w:vMerge/>
            <w:tcBorders>
              <w:top w:val="single" w:sz="4" w:space="0" w:color="000000"/>
              <w:left w:val="single" w:sz="4" w:space="0" w:color="000000"/>
              <w:bottom w:val="single" w:sz="4" w:space="0" w:color="000000"/>
              <w:right w:val="single" w:sz="4" w:space="0" w:color="000000"/>
            </w:tcBorders>
          </w:tcPr>
          <w:p w:rsidR="00764EB5" w:rsidRDefault="00764EB5" w:rsidP="002124B8">
            <w:pPr>
              <w:ind w:firstLine="0"/>
              <w:rPr>
                <w:szCs w:val="26"/>
              </w:rPr>
            </w:pPr>
          </w:p>
        </w:tc>
        <w:tc>
          <w:tcPr>
            <w:tcW w:w="2849"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rPr>
                <w:szCs w:val="26"/>
              </w:rPr>
            </w:pPr>
            <w:r>
              <w:rPr>
                <w:szCs w:val="26"/>
              </w:rPr>
              <w:t>Hỗ trợ gia đình</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13</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3,6</w:t>
            </w:r>
          </w:p>
        </w:tc>
        <w:tc>
          <w:tcPr>
            <w:tcW w:w="1582"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szCs w:val="26"/>
              </w:rPr>
            </w:pPr>
            <w:r>
              <w:rPr>
                <w:szCs w:val="26"/>
              </w:rPr>
              <w:t>100,0</w:t>
            </w:r>
          </w:p>
        </w:tc>
      </w:tr>
      <w:tr w:rsidR="00764EB5">
        <w:tc>
          <w:tcPr>
            <w:tcW w:w="4644" w:type="dxa"/>
            <w:gridSpan w:val="2"/>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b/>
                <w:bCs/>
                <w:szCs w:val="26"/>
              </w:rPr>
            </w:pPr>
            <w:r>
              <w:rPr>
                <w:b/>
                <w:bCs/>
                <w:szCs w:val="26"/>
              </w:rPr>
              <w:t>Tổng cộng</w:t>
            </w:r>
          </w:p>
        </w:tc>
        <w:tc>
          <w:tcPr>
            <w:tcW w:w="1418"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b/>
                <w:bCs/>
                <w:szCs w:val="26"/>
              </w:rPr>
            </w:pPr>
            <w:r>
              <w:rPr>
                <w:b/>
                <w:bCs/>
                <w:szCs w:val="26"/>
              </w:rPr>
              <w:t>361</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ind w:firstLine="0"/>
              <w:jc w:val="center"/>
              <w:rPr>
                <w:b/>
                <w:bCs/>
                <w:szCs w:val="26"/>
              </w:rPr>
            </w:pPr>
            <w:r>
              <w:rPr>
                <w:b/>
                <w:bCs/>
                <w:szCs w:val="26"/>
              </w:rPr>
              <w:t>100,0</w:t>
            </w:r>
          </w:p>
        </w:tc>
        <w:tc>
          <w:tcPr>
            <w:tcW w:w="1582" w:type="dxa"/>
            <w:tcBorders>
              <w:top w:val="single" w:sz="4" w:space="0" w:color="000000"/>
              <w:left w:val="single" w:sz="4" w:space="0" w:color="000000"/>
              <w:bottom w:val="single" w:sz="4" w:space="0" w:color="000000"/>
              <w:right w:val="single" w:sz="4" w:space="0" w:color="000000"/>
            </w:tcBorders>
          </w:tcPr>
          <w:p w:rsidR="00764EB5" w:rsidRDefault="00764EB5" w:rsidP="002124B8">
            <w:pPr>
              <w:ind w:firstLine="0"/>
              <w:jc w:val="center"/>
              <w:rPr>
                <w:szCs w:val="26"/>
              </w:rPr>
            </w:pPr>
          </w:p>
        </w:tc>
      </w:tr>
    </w:tbl>
    <w:p w:rsidR="00764EB5" w:rsidRDefault="00DF13CC" w:rsidP="003D6B28">
      <w:pPr>
        <w:jc w:val="right"/>
        <w:rPr>
          <w:i/>
          <w:iCs/>
          <w:color w:val="auto"/>
        </w:rPr>
      </w:pPr>
      <w:r>
        <w:rPr>
          <w:i/>
          <w:iCs/>
          <w:color w:val="auto"/>
        </w:rPr>
        <w:t>(Nguồn: Từ kết quả khảo sát)</w:t>
      </w:r>
    </w:p>
    <w:p w:rsidR="00764EB5" w:rsidRDefault="00DF13CC" w:rsidP="003D6B28">
      <w:pPr>
        <w:rPr>
          <w:color w:val="auto"/>
        </w:rPr>
      </w:pPr>
      <w:r>
        <w:rPr>
          <w:color w:val="auto"/>
        </w:rPr>
        <w:t>Kết quả Bảng 4.2 cho thấy mẫu nghiên cứu gồm 173 nam, chiếm 47,9% và 188 nữ, chiếm 52,1%. Cơ cấu này tương đối cân bằng giữa hai giới và hạn chế tình trạng dữ liệu tập trung quá mức vào một nhóm giới tính. Tuy nhiên, do giới tính không được xây dựng thành biến giải thích hoặc biến điều tiết trong mô hình, các tỷ lệ này chỉ có ý nghĩa mô tả, không phải căn cứ để kết luận sự khác biệt về Ý định mua hoặc QDM giữa nam và nữ.</w:t>
      </w:r>
    </w:p>
    <w:p w:rsidR="00764EB5" w:rsidRDefault="00DF13CC" w:rsidP="002124B8">
      <w:pPr>
        <w:spacing w:line="343" w:lineRule="auto"/>
        <w:rPr>
          <w:color w:val="auto"/>
        </w:rPr>
      </w:pPr>
      <w:r>
        <w:rPr>
          <w:color w:val="auto"/>
        </w:rPr>
        <w:lastRenderedPageBreak/>
        <w:t>Xét về độ tuổi, nhóm dưới 25 tuổi chiếm 16,1%; nhóm từ 25–34 tuổi chiếm 28,5%; nhóm 35–44 tuổi chiếm 27,1%; nhóm 45–54 tuổi chiếm 24,7%; nhóm từ 55 tuổi trở lên chiếm 3,6%. Ba nhóm tuổi từ 25 đến 54 chiếm tổng cộng 80,3% mẫu khảo sát. Đây là giai đoạn tuổi gắn tương đối chặt với quá trình tham gia thị trường lao động, tích lũy tài chính, hình thành gia đình và xác lập nhu cầu cư trú ổn định. Vì vậy, cơ cấu tuổi của mẫu có tính phù hợp về mặt bối cảnh đối với nghiên cứu hành vi mua căn hộ.</w:t>
      </w:r>
    </w:p>
    <w:p w:rsidR="00764EB5" w:rsidRDefault="00DF13CC" w:rsidP="002124B8">
      <w:pPr>
        <w:spacing w:line="343" w:lineRule="auto"/>
        <w:rPr>
          <w:color w:val="auto"/>
        </w:rPr>
      </w:pPr>
      <w:r>
        <w:rPr>
          <w:color w:val="auto"/>
        </w:rPr>
        <w:t>Tuy nhiên, không nên chuyển đặc điểm này thành kết luận rằng độ tuổi là nguyên nhân làm thay đổi Ý định mua, bởi tuổi không phải một cấu trúc nằm trong mô hình được kiểm định. Giá trị của thông tin độ tuổi chủ yếu nằm ở việc giúp xác định “không gian dữ liệu” mà trong đó các hệ số của mô hình được ước lượng.</w:t>
      </w:r>
    </w:p>
    <w:p w:rsidR="00764EB5" w:rsidRDefault="00DF13CC" w:rsidP="002124B8">
      <w:pPr>
        <w:spacing w:line="343" w:lineRule="auto"/>
        <w:rPr>
          <w:color w:val="auto"/>
        </w:rPr>
      </w:pPr>
      <w:r>
        <w:rPr>
          <w:color w:val="auto"/>
        </w:rPr>
        <w:t>Về học vấn, nhóm cao đẳng/trung cấp chiếm 33,5%; đại học chiếm 20,8%; sau đại học chiếm 14,7%; THPT chiếm 11,4% và các nhóm khác chiếm 19,7%. Cơ cấu này cho thấy mẫu có độ đa dạng nhất định về trình độ học vấn. Trong một sản phẩm có mức độ phức tạp thông tin và pháp lý tương đối cao như căn hộ chung cư, trình độ học vấn có thể liên quan đến cách người mua tìm kiếm và xử lý thông tin; tuy nhiên, do nghiên cứu không kiểm định trực tiếp quan hệ này, nội dung trên chỉ được sử dụng như một căn cứ mô tả.</w:t>
      </w:r>
    </w:p>
    <w:p w:rsidR="00764EB5" w:rsidRDefault="00DF13CC" w:rsidP="002124B8">
      <w:pPr>
        <w:spacing w:line="343" w:lineRule="auto"/>
        <w:rPr>
          <w:color w:val="auto"/>
        </w:rPr>
      </w:pPr>
      <w:r>
        <w:rPr>
          <w:color w:val="auto"/>
        </w:rPr>
        <w:t>Đáng chú ý hơn là cơ cấu thu nhập. Nhóm có thu nhập từ 20 đến dưới 30 triệu đồng/tháng chiếm tỷ trọng cao nhất với 31,0%, tiếp theo là nhóm từ 30 đến dưới 50 triệu đồng với 27,7%. Nhóm từ 10 đến dưới 20 triệu đồng chiếm 21,3%; dưới 10 triệu đồng chiếm 14,1% và từ 50 triệu đồng trở lên chiếm 5,8%. Như vậy, nhóm thu nhập từ 20 đến dưới 50 triệu đồng chiếm 58,7% tổng số người trả lời.</w:t>
      </w:r>
    </w:p>
    <w:p w:rsidR="00764EB5" w:rsidRDefault="00DF13CC" w:rsidP="002124B8">
      <w:pPr>
        <w:spacing w:line="343" w:lineRule="auto"/>
        <w:rPr>
          <w:color w:val="auto"/>
        </w:rPr>
      </w:pPr>
      <w:r>
        <w:rPr>
          <w:color w:val="auto"/>
        </w:rPr>
        <w:t>Cấu trúc thu nhập này có ý nghĩa đáng lưu ý khi phân tích biến Nhận thức kiểm soát hành vi ở phần sau. Phần lớn người tham gia khảo sát nằm trong nhóm đã có một mức thu nhập nhất định để tiếp cận thị trường căn hộ. Vì vậy, mức độ khác biệt về khả năng tài chính được cảm nhận trong mẫu có thể thấp hơn so với trường hợp khảo sát trên toàn bộ dân cư, bao gồm tỷ trọng lớn nhóm chưa có khả năng tiếp cận nhà ở thương mại.</w:t>
      </w:r>
    </w:p>
    <w:p w:rsidR="00764EB5" w:rsidRDefault="00DF13CC" w:rsidP="003D6B28">
      <w:pPr>
        <w:rPr>
          <w:color w:val="auto"/>
        </w:rPr>
      </w:pPr>
      <w:r>
        <w:rPr>
          <w:color w:val="auto"/>
        </w:rPr>
        <w:t xml:space="preserve">Kết quả về nguồn tài chính tiếp tục hỗ trợ cách diễn giải này. Có 164 người, tương ứng 45,4%, dự kiến sử dụng vốn tự có; 179 người, tương ứng 49,6%, sử dụng </w:t>
      </w:r>
      <w:r>
        <w:rPr>
          <w:color w:val="auto"/>
        </w:rPr>
        <w:lastRenderedPageBreak/>
        <w:t>kết hợp vốn tự có và vốn vay; chỉ 1,4% chủ yếu dựa vào vốn vay và 3,6% dự kiến nhận hỗ trợ từ gia đình.</w:t>
      </w:r>
    </w:p>
    <w:p w:rsidR="00764EB5" w:rsidRDefault="00DF13CC" w:rsidP="003D6B28">
      <w:pPr>
        <w:rPr>
          <w:color w:val="auto"/>
        </w:rPr>
      </w:pPr>
      <w:r>
        <w:rPr>
          <w:color w:val="auto"/>
        </w:rPr>
        <w:t>Như vậy, khoảng 95% mẫu thuộc hai nhóm “vốn tự có” hoặc “vốn tự có kết hợp vay”. Điều này cho thấy phần lớn người trả lời không hoàn toàn ở trạng thái chưa có nguồn lực tài chính. Đây là một dữ kiện quan trọng khi giải thích vì sao hệ số NTHV trong mô hình, mặc dù có ý nghĩa thống kê, lại thấp hơn TD, CCQ và GTCN. Không thể từ kết quả đó kết luận rằng tài chính không quan trọng; hợp lý hơn là nhận định rằng trong một mẫu đã có mức độ tiếp cận nguồn lực tương đối nhất định, khả năng kiểm soát hành vi tạo ra phần biến thiên bổ sung cho Ý định mua nhỏ hơn so với một số yếu tố nhận thức và xã hội.</w:t>
      </w:r>
    </w:p>
    <w:p w:rsidR="00764EB5" w:rsidRDefault="00DF13CC" w:rsidP="003D6B28">
      <w:pPr>
        <w:rPr>
          <w:color w:val="auto"/>
        </w:rPr>
      </w:pPr>
      <w:r>
        <w:rPr>
          <w:color w:val="auto"/>
        </w:rPr>
        <w:t>Xét về nghề nghiệp, nhóm nhân viên chiếm 57,6%, nhóm quản lý chiếm 20,2%, nhóm kinh doanh chiếm 13,0% và nhóm công nhân chiếm 9,1%. Tỷ trọng tương đối cao của nhóm làm việc hưởng lương và quản lý cho thấy nhiều người tham gia có nguồn thu nhập có tính định kỳ, một đặc điểm có thể hỗ trợ khả năng lập kế hoạch tài chính cho khoản đầu tư dài hạn như căn hộ. Tuy nhiên, tương tự các biến nhân khẩu học khác, nghiên cứu không kiểm định nghề nghiệp như một biến điều tiết nên không đưa ra kết luận về sự khác biệt giữa các nhóm nghề.</w:t>
      </w:r>
    </w:p>
    <w:p w:rsidR="00764EB5" w:rsidRDefault="00DF13CC" w:rsidP="003D6B28">
      <w:pPr>
        <w:rPr>
          <w:color w:val="auto"/>
        </w:rPr>
      </w:pPr>
      <w:r>
        <w:rPr>
          <w:color w:val="auto"/>
        </w:rPr>
        <w:t>Tổng hợp các đặc điểm trên cho thấy mẫu nghiên cứu có sự đa dạng về giới tính, độ tuổi, trình độ, thu nhập và nghề nghiệp, đồng thời tập trung đáng kể ở nhóm tuổi lao động và nhóm có khả năng tham gia thị trường nhà ở thương mại. Đây là một bối cảnh phù hợp để nghiên cứu tiến trình từ nhận thức đến Ý định mua và mức độ sẵn sàng ra quyết định, nhưng kết quả không được suy rộng thành cơ cấu đại diện của toàn bộ thị trường.</w:t>
      </w:r>
    </w:p>
    <w:p w:rsidR="00764EB5" w:rsidRPr="006575F3" w:rsidRDefault="00DF13CC" w:rsidP="00021C6B">
      <w:pPr>
        <w:pStyle w:val="Heading3"/>
        <w:rPr>
          <w:b w:val="0"/>
        </w:rPr>
      </w:pPr>
      <w:bookmarkStart w:id="451" w:name="_Toc234224132"/>
      <w:bookmarkStart w:id="452" w:name="_Toc238480634"/>
      <w:bookmarkStart w:id="453" w:name="_Toc241062472"/>
      <w:bookmarkStart w:id="454" w:name="_Toc241064400"/>
      <w:bookmarkStart w:id="455" w:name="_Toc241065333"/>
      <w:bookmarkStart w:id="456" w:name="_Toc241065551"/>
      <w:r w:rsidRPr="006575F3">
        <w:rPr>
          <w:b w:val="0"/>
        </w:rPr>
        <w:t>4.2.1.3. Đặc điểm hành vi và nhu cầu nhà ở</w:t>
      </w:r>
      <w:bookmarkEnd w:id="451"/>
      <w:bookmarkEnd w:id="452"/>
      <w:bookmarkEnd w:id="453"/>
      <w:bookmarkEnd w:id="454"/>
      <w:bookmarkEnd w:id="455"/>
      <w:bookmarkEnd w:id="456"/>
    </w:p>
    <w:p w:rsidR="00764EB5" w:rsidRDefault="00DF13CC" w:rsidP="003D6B28">
      <w:pPr>
        <w:rPr>
          <w:color w:val="auto"/>
        </w:rPr>
      </w:pPr>
      <w:r>
        <w:rPr>
          <w:color w:val="auto"/>
        </w:rPr>
        <w:t>Xét theo địa bàn khảo sát, người trả lời tại TP. Hồ Chí Minh chiếm 54,8%, Đồng Nai chiếm 28,8% và Tây Ninh chiếm 16,4%. Cơ cấu này phản ánh mức độ tập trung khác nhau của quan sát tại ba khu vực nghiên cứu. Thành phố Hồ Chí Minh có tỷ trọng cao nhất phù hợp với đặc điểm đây là thị trường căn hộ phát triển nhất trong các địa bàn khảo sát, nhưng tỷ trọng mẫu không được coi là tỷ trọng thực tế của người mua căn hộ trong toàn vùng.</w:t>
      </w:r>
    </w:p>
    <w:p w:rsidR="00764EB5" w:rsidRDefault="00DF13CC" w:rsidP="003D6B28">
      <w:pPr>
        <w:rPr>
          <w:color w:val="auto"/>
        </w:rPr>
      </w:pPr>
      <w:r>
        <w:rPr>
          <w:color w:val="auto"/>
        </w:rPr>
        <w:lastRenderedPageBreak/>
        <w:t>Đặc biệt quan trọng là tình trạng tham gia thị trường của người trả lời. Nhóm “đã từng mua” chiếm 25,5%; “đang cân nhắc mua” chiếm 41,3%; “có nhu cầu trong tương lai” chiếm 33,2%. Như vậy, 74,5% mẫu thuộc hai nhóm chưa được xác định là đã hoàn thành giao dịch mua tại thời điểm khảo sát.</w:t>
      </w:r>
    </w:p>
    <w:p w:rsidR="00764EB5" w:rsidRDefault="00DF13CC" w:rsidP="002124B8">
      <w:pPr>
        <w:spacing w:line="353" w:lineRule="auto"/>
        <w:rPr>
          <w:color w:val="auto"/>
        </w:rPr>
      </w:pPr>
      <w:r>
        <w:rPr>
          <w:color w:val="auto"/>
        </w:rPr>
        <w:t>Kết quả này có ý nghĩa trực tiếp đối với cách vận hành hóa biến QDM của luận án. Nếu QDM được hiểu là hành vi mua thực tế đã hoàn thành thì việc phần lớn người trả lời chưa mua sẽ dẫn đến sự không nhất quán giữa đối tượng khảo sát và khái niệm đo lường. Do đó, cách xác định QDM là mức độ sẵn sàng ra quyết định mua phù hợp hơn với dữ liệu và tiến trình hành vi được nghiên cứu.</w:t>
      </w:r>
    </w:p>
    <w:p w:rsidR="00764EB5" w:rsidRDefault="00DF13CC" w:rsidP="002124B8">
      <w:pPr>
        <w:spacing w:line="353" w:lineRule="auto"/>
        <w:rPr>
          <w:color w:val="auto"/>
        </w:rPr>
      </w:pPr>
      <w:r>
        <w:rPr>
          <w:color w:val="auto"/>
        </w:rPr>
        <w:t>Cấu trúc mẫu đồng thời cho phép luận án quan sát những cá nhân ở các giai đoạn khác nhau của hành trình mua: đã có kinh nghiệm mua, đang cân nhắc và có nhu cầu tương lai. Điều này phù hợp với mục tiêu nghiên cứu về quá trình từ nhận thức, đánh giá đến Ý định mua và mức độ sẵn sàng hành động. Tuy nhiên, do chưa thực hiện kiểm định đa nhóm, nghiên cứu không kết luận rằng hệ số của người đã mua khác người chưa mua.</w:t>
      </w:r>
    </w:p>
    <w:p w:rsidR="00764EB5" w:rsidRPr="006575F3" w:rsidRDefault="00DF13CC" w:rsidP="002124B8">
      <w:pPr>
        <w:spacing w:line="353" w:lineRule="auto"/>
        <w:rPr>
          <w:color w:val="auto"/>
          <w:spacing w:val="-2"/>
        </w:rPr>
      </w:pPr>
      <w:r w:rsidRPr="006575F3">
        <w:rPr>
          <w:color w:val="auto"/>
          <w:spacing w:val="-2"/>
        </w:rPr>
        <w:t>Xét về mức độ tham gia vào quyết định, 47,9% người trả lời là người quyết định chính và 52,1% là người có tham gia vào quyết định. Đây là một đặc điểm rất đáng lưu ý. Một mặt, nó xác nhận người trả lời đều có sự liên quan thực tế với quyết định mua. Mặt khác, tỷ lệ hơn một nửa mẫu thuộc nhóm “tham gia” thay vì quyết định hoàn toàn độc lập cho thấy mua căn hộ thường có tính chất của một quyết định hộ gia đình.</w:t>
      </w:r>
    </w:p>
    <w:p w:rsidR="00764EB5" w:rsidRDefault="00DF13CC" w:rsidP="002124B8">
      <w:pPr>
        <w:spacing w:line="353" w:lineRule="auto"/>
        <w:rPr>
          <w:color w:val="auto"/>
        </w:rPr>
      </w:pPr>
      <w:r>
        <w:rPr>
          <w:color w:val="auto"/>
        </w:rPr>
        <w:t>Thông tin này chưa thể tự thân chứng minh vai trò của Chuẩn chủ quan, nhưng tạo ra một bối cảnh phù hợp để giải thích kết quả CCQ → YDM sau này. Đối với một tài sản có giá trị lớn và nghĩa vụ tài chính dài hạn, quyết định thường liên quan đến sự đồng thuận, hỗ trợ hoặc đánh giá của vợ/chồng, cha mẹ và những người tham gia nguồn lực chung.</w:t>
      </w:r>
    </w:p>
    <w:p w:rsidR="00764EB5" w:rsidRPr="002124B8" w:rsidRDefault="00DF13CC" w:rsidP="003D6B28">
      <w:pPr>
        <w:rPr>
          <w:color w:val="auto"/>
          <w:spacing w:val="-2"/>
        </w:rPr>
      </w:pPr>
      <w:r w:rsidRPr="002124B8">
        <w:rPr>
          <w:color w:val="auto"/>
          <w:spacing w:val="-2"/>
        </w:rPr>
        <w:t>Như vậy, phân tích mô tả không chỉ cung cấp thông tin về “ai đã trả lời khảo sát”, mà còn giúp xác định đặc điểm của nhóm người trong đó mô hình TPB mở rộng được kiểm định: chủ yếu là người trong độ tuổi lao động, có mức độ quan tâm tương đối thực tế đối với căn hộ, có khả năng tiếp cận tài chính ở những mức khác nhau và nhiều trường hợp tham gia một quá trình ra quyết định mang tính hộ gia đình.</w:t>
      </w:r>
    </w:p>
    <w:p w:rsidR="00764EB5" w:rsidRPr="006575F3" w:rsidRDefault="00DF13CC" w:rsidP="007B644D">
      <w:pPr>
        <w:pStyle w:val="Heading2"/>
        <w:rPr>
          <w:i/>
        </w:rPr>
      </w:pPr>
      <w:bookmarkStart w:id="457" w:name="_Toc205701303"/>
      <w:bookmarkStart w:id="458" w:name="_Toc234224133"/>
      <w:bookmarkStart w:id="459" w:name="_Toc241062473"/>
      <w:bookmarkStart w:id="460" w:name="_Toc241064401"/>
      <w:bookmarkStart w:id="461" w:name="_Toc241065334"/>
      <w:bookmarkStart w:id="462" w:name="_Toc241065552"/>
      <w:r w:rsidRPr="006575F3">
        <w:rPr>
          <w:i/>
        </w:rPr>
        <w:lastRenderedPageBreak/>
        <w:t xml:space="preserve">4.2.2. </w:t>
      </w:r>
      <w:bookmarkEnd w:id="457"/>
      <w:r w:rsidRPr="006575F3">
        <w:rPr>
          <w:i/>
        </w:rPr>
        <w:t>Đánh giá mô hình đo lường</w:t>
      </w:r>
      <w:bookmarkEnd w:id="458"/>
      <w:bookmarkEnd w:id="459"/>
      <w:bookmarkEnd w:id="460"/>
      <w:bookmarkEnd w:id="461"/>
      <w:bookmarkEnd w:id="462"/>
    </w:p>
    <w:p w:rsidR="00764EB5" w:rsidRPr="006575F3" w:rsidRDefault="00DF13CC" w:rsidP="00021C6B">
      <w:pPr>
        <w:pStyle w:val="Heading3"/>
        <w:rPr>
          <w:b w:val="0"/>
        </w:rPr>
      </w:pPr>
      <w:bookmarkStart w:id="463" w:name="_Toc234224134"/>
      <w:bookmarkStart w:id="464" w:name="_Toc241062474"/>
      <w:bookmarkStart w:id="465" w:name="_Toc241064402"/>
      <w:bookmarkStart w:id="466" w:name="_Toc241065335"/>
      <w:bookmarkStart w:id="467" w:name="_Toc241065553"/>
      <w:r w:rsidRPr="006575F3">
        <w:rPr>
          <w:b w:val="0"/>
        </w:rPr>
        <w:t>4.2.2.1. Đánh giá độ tin cậy thang đo bằng Cronbach’s Alpha</w:t>
      </w:r>
      <w:bookmarkEnd w:id="463"/>
      <w:bookmarkEnd w:id="464"/>
      <w:bookmarkEnd w:id="465"/>
      <w:bookmarkEnd w:id="466"/>
      <w:bookmarkEnd w:id="467"/>
    </w:p>
    <w:p w:rsidR="00764EB5" w:rsidRDefault="00DF13CC" w:rsidP="003D6B28">
      <w:pPr>
        <w:rPr>
          <w:color w:val="auto"/>
        </w:rPr>
      </w:pPr>
      <w:r>
        <w:rPr>
          <w:color w:val="auto"/>
        </w:rPr>
        <w:t>Để đảm bảo các thang đo sử dụng trong nghiên cứu có độ tin cậy và giá trị đo lường phù hợp, nghiên cứu tiến hành đánh giá thang đo theo hai giai đoạn: (i) đánh giá sơ bộ bằng hệ số Cronbach’s Alpha và phân tích nhân tố khám phá (EFA) trên IBM SPSS Statistics, và (ii) đánh giá mô hình đo lường bằng phương pháp PLS-SEM trên SmartPLS. Quy trình này tuân thủ các khuyến nghị trong nghiên cứu định lượng hiện đại (Hair et al.,  2022).</w:t>
      </w:r>
    </w:p>
    <w:p w:rsidR="00764EB5" w:rsidRDefault="00DF13CC" w:rsidP="003D6B28">
      <w:pPr>
        <w:rPr>
          <w:color w:val="auto"/>
        </w:rPr>
      </w:pPr>
      <w:r>
        <w:rPr>
          <w:color w:val="auto"/>
        </w:rPr>
        <w:t>Đầu tiên, nghiên cứu tiến hành kiểm định độ tin cậy của các thang đo thông qua hệ số Cronbach’s Alpha nhằm đánh giá mức độ nhất quán nội tại giữa các biến quan sát trong cùng một khái niệm.</w:t>
      </w:r>
    </w:p>
    <w:p w:rsidR="006575F3" w:rsidRDefault="006575F3" w:rsidP="006575F3">
      <w:pPr>
        <w:pStyle w:val="DMB"/>
        <w:outlineLvl w:val="0"/>
      </w:pPr>
      <w:bookmarkStart w:id="468" w:name="__RefHeading___Toc7807_1147916741"/>
      <w:bookmarkStart w:id="469" w:name="_Toc226534665"/>
      <w:bookmarkStart w:id="470" w:name="_Toc238482025"/>
      <w:bookmarkEnd w:id="468"/>
    </w:p>
    <w:p w:rsidR="006575F3" w:rsidRDefault="006575F3" w:rsidP="006575F3">
      <w:pPr>
        <w:pStyle w:val="DMB"/>
        <w:outlineLvl w:val="0"/>
      </w:pPr>
    </w:p>
    <w:p w:rsidR="006575F3" w:rsidRDefault="006575F3" w:rsidP="006575F3">
      <w:pPr>
        <w:pStyle w:val="DMB"/>
        <w:outlineLvl w:val="0"/>
      </w:pPr>
    </w:p>
    <w:p w:rsidR="006575F3" w:rsidRDefault="006575F3" w:rsidP="006575F3">
      <w:pPr>
        <w:pStyle w:val="DMB"/>
        <w:outlineLvl w:val="0"/>
      </w:pPr>
    </w:p>
    <w:p w:rsidR="00764EB5" w:rsidRDefault="00DF13CC" w:rsidP="006575F3">
      <w:pPr>
        <w:pStyle w:val="DMB"/>
        <w:outlineLvl w:val="0"/>
        <w:rPr>
          <w:i w:val="0"/>
        </w:rPr>
      </w:pPr>
      <w:bookmarkStart w:id="471" w:name="_Toc241064403"/>
      <w:bookmarkStart w:id="472" w:name="_Toc241065554"/>
      <w:r>
        <w:t>Bảng 4.</w:t>
      </w:r>
      <w:r w:rsidR="002E378C">
        <w:fldChar w:fldCharType="begin"/>
      </w:r>
      <w:r w:rsidR="002E378C">
        <w:instrText xml:space="preserve"> SEQ Hình_3. \* ARABIC </w:instrText>
      </w:r>
      <w:r w:rsidR="002E378C">
        <w:fldChar w:fldCharType="separate"/>
      </w:r>
      <w:r w:rsidR="00783A1B">
        <w:rPr>
          <w:noProof/>
        </w:rPr>
        <w:t>3</w:t>
      </w:r>
      <w:r w:rsidR="002E378C">
        <w:rPr>
          <w:noProof/>
        </w:rPr>
        <w:fldChar w:fldCharType="end"/>
      </w:r>
      <w:r>
        <w:t>. Độ tin cậy và giá trị hội tụ của thang đo</w:t>
      </w:r>
      <w:bookmarkEnd w:id="469"/>
      <w:bookmarkEnd w:id="470"/>
      <w:bookmarkEnd w:id="471"/>
      <w:bookmarkEnd w:id="472"/>
    </w:p>
    <w:tbl>
      <w:tblPr>
        <w:tblW w:w="5000" w:type="pct"/>
        <w:tblLayout w:type="fixed"/>
        <w:tblLook w:val="04A0" w:firstRow="1" w:lastRow="0" w:firstColumn="1" w:lastColumn="0" w:noHBand="0" w:noVBand="1"/>
      </w:tblPr>
      <w:tblGrid>
        <w:gridCol w:w="1376"/>
        <w:gridCol w:w="1552"/>
        <w:gridCol w:w="2115"/>
        <w:gridCol w:w="2114"/>
        <w:gridCol w:w="1846"/>
      </w:tblGrid>
      <w:tr w:rsidR="00764EB5">
        <w:trPr>
          <w:trHeight w:val="290"/>
        </w:trPr>
        <w:tc>
          <w:tcPr>
            <w:tcW w:w="1384" w:type="dxa"/>
            <w:vAlign w:val="bottom"/>
          </w:tcPr>
          <w:p w:rsidR="00764EB5" w:rsidRDefault="00764EB5" w:rsidP="002124B8">
            <w:pPr>
              <w:ind w:firstLine="0"/>
              <w:rPr>
                <w:szCs w:val="26"/>
              </w:rPr>
            </w:pPr>
          </w:p>
        </w:tc>
        <w:tc>
          <w:tcPr>
            <w:tcW w:w="1562" w:type="dxa"/>
            <w:tcBorders>
              <w:top w:val="single" w:sz="4" w:space="0" w:color="000000"/>
              <w:left w:val="single" w:sz="4" w:space="0" w:color="000000"/>
              <w:bottom w:val="single" w:sz="4" w:space="0" w:color="000000"/>
              <w:right w:val="single" w:sz="4" w:space="0" w:color="000000"/>
            </w:tcBorders>
            <w:vAlign w:val="bottom"/>
          </w:tcPr>
          <w:p w:rsidR="00764EB5" w:rsidRDefault="00DF13CC" w:rsidP="002124B8">
            <w:pPr>
              <w:ind w:firstLine="0"/>
              <w:jc w:val="center"/>
              <w:rPr>
                <w:szCs w:val="26"/>
              </w:rPr>
            </w:pPr>
            <w:r>
              <w:rPr>
                <w:szCs w:val="26"/>
              </w:rPr>
              <w:t>Cronbach's alpha</w:t>
            </w:r>
          </w:p>
        </w:tc>
        <w:tc>
          <w:tcPr>
            <w:tcW w:w="2129" w:type="dxa"/>
            <w:tcBorders>
              <w:top w:val="single" w:sz="4" w:space="0" w:color="000000"/>
              <w:bottom w:val="single" w:sz="4" w:space="0" w:color="000000"/>
              <w:right w:val="single" w:sz="4" w:space="0" w:color="000000"/>
            </w:tcBorders>
            <w:vAlign w:val="bottom"/>
          </w:tcPr>
          <w:p w:rsidR="00764EB5" w:rsidRDefault="00DF13CC" w:rsidP="002124B8">
            <w:pPr>
              <w:ind w:firstLine="0"/>
              <w:jc w:val="center"/>
              <w:rPr>
                <w:szCs w:val="26"/>
              </w:rPr>
            </w:pPr>
            <w:r>
              <w:rPr>
                <w:szCs w:val="26"/>
              </w:rPr>
              <w:t>Composite reliability (rho_a)</w:t>
            </w:r>
          </w:p>
        </w:tc>
        <w:tc>
          <w:tcPr>
            <w:tcW w:w="2128" w:type="dxa"/>
            <w:tcBorders>
              <w:top w:val="single" w:sz="4" w:space="0" w:color="000000"/>
              <w:bottom w:val="single" w:sz="4" w:space="0" w:color="000000"/>
              <w:right w:val="single" w:sz="4" w:space="0" w:color="000000"/>
            </w:tcBorders>
            <w:vAlign w:val="bottom"/>
          </w:tcPr>
          <w:p w:rsidR="00764EB5" w:rsidRDefault="00DF13CC" w:rsidP="002124B8">
            <w:pPr>
              <w:ind w:firstLine="0"/>
              <w:jc w:val="center"/>
              <w:rPr>
                <w:szCs w:val="26"/>
              </w:rPr>
            </w:pPr>
            <w:r>
              <w:rPr>
                <w:szCs w:val="26"/>
              </w:rPr>
              <w:t>Composite reliability (rho_c)</w:t>
            </w:r>
          </w:p>
        </w:tc>
        <w:tc>
          <w:tcPr>
            <w:tcW w:w="1858" w:type="dxa"/>
            <w:tcBorders>
              <w:top w:val="single" w:sz="4" w:space="0" w:color="000000"/>
              <w:bottom w:val="single" w:sz="4" w:space="0" w:color="000000"/>
              <w:right w:val="single" w:sz="4" w:space="0" w:color="000000"/>
            </w:tcBorders>
            <w:vAlign w:val="bottom"/>
          </w:tcPr>
          <w:p w:rsidR="00764EB5" w:rsidRDefault="00DF13CC" w:rsidP="002124B8">
            <w:pPr>
              <w:ind w:firstLine="0"/>
              <w:jc w:val="center"/>
              <w:rPr>
                <w:szCs w:val="26"/>
              </w:rPr>
            </w:pPr>
            <w:r>
              <w:rPr>
                <w:szCs w:val="26"/>
              </w:rPr>
              <w:t>Average variance extracted (AVE)</w:t>
            </w:r>
          </w:p>
        </w:tc>
      </w:tr>
      <w:tr w:rsidR="00764EB5">
        <w:trPr>
          <w:trHeight w:val="290"/>
        </w:trPr>
        <w:tc>
          <w:tcPr>
            <w:tcW w:w="1384" w:type="dxa"/>
            <w:tcBorders>
              <w:top w:val="single" w:sz="4" w:space="0" w:color="000000"/>
              <w:left w:val="single" w:sz="4" w:space="0" w:color="000000"/>
              <w:bottom w:val="single" w:sz="4" w:space="0" w:color="000000"/>
              <w:right w:val="single" w:sz="4" w:space="0" w:color="000000"/>
            </w:tcBorders>
            <w:vAlign w:val="bottom"/>
          </w:tcPr>
          <w:p w:rsidR="00764EB5" w:rsidRDefault="00DF13CC" w:rsidP="002124B8">
            <w:pPr>
              <w:ind w:firstLine="0"/>
              <w:jc w:val="center"/>
              <w:rPr>
                <w:szCs w:val="26"/>
              </w:rPr>
            </w:pPr>
            <w:r>
              <w:rPr>
                <w:szCs w:val="26"/>
              </w:rPr>
              <w:t>CCQ</w:t>
            </w:r>
          </w:p>
        </w:tc>
        <w:tc>
          <w:tcPr>
            <w:tcW w:w="1562"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0,898</w:t>
            </w:r>
          </w:p>
        </w:tc>
        <w:tc>
          <w:tcPr>
            <w:tcW w:w="2129"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0,905</w:t>
            </w:r>
          </w:p>
        </w:tc>
        <w:tc>
          <w:tcPr>
            <w:tcW w:w="2128"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0,922</w:t>
            </w:r>
          </w:p>
        </w:tc>
        <w:tc>
          <w:tcPr>
            <w:tcW w:w="1858"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0,663</w:t>
            </w:r>
          </w:p>
        </w:tc>
      </w:tr>
      <w:tr w:rsidR="00764EB5">
        <w:trPr>
          <w:trHeight w:val="290"/>
        </w:trPr>
        <w:tc>
          <w:tcPr>
            <w:tcW w:w="1384" w:type="dxa"/>
            <w:tcBorders>
              <w:left w:val="single" w:sz="4" w:space="0" w:color="000000"/>
              <w:bottom w:val="single" w:sz="4" w:space="0" w:color="000000"/>
              <w:right w:val="single" w:sz="4" w:space="0" w:color="000000"/>
            </w:tcBorders>
            <w:vAlign w:val="bottom"/>
          </w:tcPr>
          <w:p w:rsidR="00764EB5" w:rsidRDefault="00DF13CC" w:rsidP="002124B8">
            <w:pPr>
              <w:ind w:firstLine="0"/>
              <w:jc w:val="center"/>
              <w:rPr>
                <w:szCs w:val="26"/>
              </w:rPr>
            </w:pPr>
            <w:r>
              <w:rPr>
                <w:szCs w:val="26"/>
              </w:rPr>
              <w:t>GTCN</w:t>
            </w:r>
          </w:p>
        </w:tc>
        <w:tc>
          <w:tcPr>
            <w:tcW w:w="1562"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0,876</w:t>
            </w:r>
          </w:p>
        </w:tc>
        <w:tc>
          <w:tcPr>
            <w:tcW w:w="2129"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0,883</w:t>
            </w:r>
          </w:p>
        </w:tc>
        <w:tc>
          <w:tcPr>
            <w:tcW w:w="2128"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0,910</w:t>
            </w:r>
          </w:p>
        </w:tc>
        <w:tc>
          <w:tcPr>
            <w:tcW w:w="1858"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0,668</w:t>
            </w:r>
          </w:p>
        </w:tc>
      </w:tr>
      <w:tr w:rsidR="00764EB5">
        <w:trPr>
          <w:trHeight w:val="290"/>
        </w:trPr>
        <w:tc>
          <w:tcPr>
            <w:tcW w:w="1384" w:type="dxa"/>
            <w:tcBorders>
              <w:left w:val="single" w:sz="4" w:space="0" w:color="000000"/>
              <w:bottom w:val="single" w:sz="4" w:space="0" w:color="000000"/>
              <w:right w:val="single" w:sz="4" w:space="0" w:color="000000"/>
            </w:tcBorders>
            <w:vAlign w:val="bottom"/>
          </w:tcPr>
          <w:p w:rsidR="00764EB5" w:rsidRDefault="00DF13CC" w:rsidP="002124B8">
            <w:pPr>
              <w:ind w:firstLine="0"/>
              <w:jc w:val="center"/>
              <w:rPr>
                <w:szCs w:val="26"/>
              </w:rPr>
            </w:pPr>
            <w:r>
              <w:rPr>
                <w:szCs w:val="26"/>
              </w:rPr>
              <w:t>NTHV</w:t>
            </w:r>
          </w:p>
        </w:tc>
        <w:tc>
          <w:tcPr>
            <w:tcW w:w="1562"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0,767</w:t>
            </w:r>
          </w:p>
        </w:tc>
        <w:tc>
          <w:tcPr>
            <w:tcW w:w="2129"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0,896</w:t>
            </w:r>
          </w:p>
        </w:tc>
        <w:tc>
          <w:tcPr>
            <w:tcW w:w="2128"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0,860</w:t>
            </w:r>
          </w:p>
        </w:tc>
        <w:tc>
          <w:tcPr>
            <w:tcW w:w="1858"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0,673</w:t>
            </w:r>
          </w:p>
        </w:tc>
      </w:tr>
      <w:tr w:rsidR="00764EB5">
        <w:trPr>
          <w:trHeight w:val="290"/>
        </w:trPr>
        <w:tc>
          <w:tcPr>
            <w:tcW w:w="1384" w:type="dxa"/>
            <w:tcBorders>
              <w:left w:val="single" w:sz="4" w:space="0" w:color="000000"/>
              <w:bottom w:val="single" w:sz="4" w:space="0" w:color="000000"/>
              <w:right w:val="single" w:sz="4" w:space="0" w:color="000000"/>
            </w:tcBorders>
            <w:vAlign w:val="bottom"/>
          </w:tcPr>
          <w:p w:rsidR="00764EB5" w:rsidRDefault="00DF13CC" w:rsidP="002124B8">
            <w:pPr>
              <w:ind w:firstLine="0"/>
              <w:jc w:val="center"/>
              <w:rPr>
                <w:szCs w:val="26"/>
              </w:rPr>
            </w:pPr>
            <w:r>
              <w:rPr>
                <w:szCs w:val="26"/>
              </w:rPr>
              <w:t>QDM</w:t>
            </w:r>
          </w:p>
        </w:tc>
        <w:tc>
          <w:tcPr>
            <w:tcW w:w="1562"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0,902</w:t>
            </w:r>
          </w:p>
        </w:tc>
        <w:tc>
          <w:tcPr>
            <w:tcW w:w="2129"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0,907</w:t>
            </w:r>
          </w:p>
        </w:tc>
        <w:tc>
          <w:tcPr>
            <w:tcW w:w="2128"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0,925</w:t>
            </w:r>
          </w:p>
        </w:tc>
        <w:tc>
          <w:tcPr>
            <w:tcW w:w="1858"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0,674</w:t>
            </w:r>
          </w:p>
        </w:tc>
      </w:tr>
      <w:tr w:rsidR="00764EB5">
        <w:trPr>
          <w:trHeight w:val="290"/>
        </w:trPr>
        <w:tc>
          <w:tcPr>
            <w:tcW w:w="1384" w:type="dxa"/>
            <w:tcBorders>
              <w:left w:val="single" w:sz="4" w:space="0" w:color="000000"/>
              <w:bottom w:val="single" w:sz="4" w:space="0" w:color="000000"/>
              <w:right w:val="single" w:sz="4" w:space="0" w:color="000000"/>
            </w:tcBorders>
            <w:vAlign w:val="bottom"/>
          </w:tcPr>
          <w:p w:rsidR="00764EB5" w:rsidRDefault="00DF13CC" w:rsidP="002124B8">
            <w:pPr>
              <w:ind w:firstLine="0"/>
              <w:jc w:val="center"/>
              <w:rPr>
                <w:szCs w:val="26"/>
              </w:rPr>
            </w:pPr>
            <w:r>
              <w:rPr>
                <w:szCs w:val="26"/>
              </w:rPr>
              <w:t>TD</w:t>
            </w:r>
          </w:p>
        </w:tc>
        <w:tc>
          <w:tcPr>
            <w:tcW w:w="1562"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0,892</w:t>
            </w:r>
          </w:p>
        </w:tc>
        <w:tc>
          <w:tcPr>
            <w:tcW w:w="2129"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0,893</w:t>
            </w:r>
          </w:p>
        </w:tc>
        <w:tc>
          <w:tcPr>
            <w:tcW w:w="2128"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0,921</w:t>
            </w:r>
          </w:p>
        </w:tc>
        <w:tc>
          <w:tcPr>
            <w:tcW w:w="1858"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0,700</w:t>
            </w:r>
          </w:p>
        </w:tc>
      </w:tr>
      <w:tr w:rsidR="00764EB5">
        <w:trPr>
          <w:trHeight w:val="290"/>
        </w:trPr>
        <w:tc>
          <w:tcPr>
            <w:tcW w:w="1384" w:type="dxa"/>
            <w:tcBorders>
              <w:left w:val="single" w:sz="4" w:space="0" w:color="000000"/>
              <w:bottom w:val="single" w:sz="4" w:space="0" w:color="000000"/>
              <w:right w:val="single" w:sz="4" w:space="0" w:color="000000"/>
            </w:tcBorders>
            <w:vAlign w:val="bottom"/>
          </w:tcPr>
          <w:p w:rsidR="00764EB5" w:rsidRDefault="00DF13CC" w:rsidP="002124B8">
            <w:pPr>
              <w:ind w:firstLine="0"/>
              <w:jc w:val="center"/>
              <w:rPr>
                <w:szCs w:val="26"/>
              </w:rPr>
            </w:pPr>
            <w:r>
              <w:rPr>
                <w:szCs w:val="26"/>
              </w:rPr>
              <w:t>YDM</w:t>
            </w:r>
          </w:p>
        </w:tc>
        <w:tc>
          <w:tcPr>
            <w:tcW w:w="1562"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0,869</w:t>
            </w:r>
          </w:p>
        </w:tc>
        <w:tc>
          <w:tcPr>
            <w:tcW w:w="2129"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0,870</w:t>
            </w:r>
          </w:p>
        </w:tc>
        <w:tc>
          <w:tcPr>
            <w:tcW w:w="2128"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0,902</w:t>
            </w:r>
          </w:p>
        </w:tc>
        <w:tc>
          <w:tcPr>
            <w:tcW w:w="1858" w:type="dxa"/>
            <w:tcBorders>
              <w:bottom w:val="single" w:sz="4" w:space="0" w:color="000000"/>
              <w:right w:val="single" w:sz="4" w:space="0" w:color="000000"/>
            </w:tcBorders>
            <w:vAlign w:val="bottom"/>
          </w:tcPr>
          <w:p w:rsidR="00764EB5" w:rsidRDefault="00DF13CC" w:rsidP="002124B8">
            <w:pPr>
              <w:ind w:firstLine="0"/>
              <w:jc w:val="center"/>
              <w:rPr>
                <w:szCs w:val="26"/>
              </w:rPr>
            </w:pPr>
            <w:r>
              <w:rPr>
                <w:szCs w:val="26"/>
              </w:rPr>
              <w:t>0,605</w:t>
            </w:r>
          </w:p>
        </w:tc>
      </w:tr>
    </w:tbl>
    <w:p w:rsidR="00764EB5" w:rsidRDefault="00DF13CC" w:rsidP="003D6B28">
      <w:pPr>
        <w:jc w:val="right"/>
        <w:rPr>
          <w:i/>
          <w:iCs/>
          <w:color w:val="auto"/>
        </w:rPr>
      </w:pPr>
      <w:r>
        <w:rPr>
          <w:i/>
          <w:iCs/>
          <w:color w:val="auto"/>
        </w:rPr>
        <w:t>(Nguồn: Kết quả phân tích bằng phần mềm SmartPLS)</w:t>
      </w:r>
    </w:p>
    <w:p w:rsidR="00764EB5" w:rsidRDefault="00DF13CC" w:rsidP="003D6B28">
      <w:pPr>
        <w:rPr>
          <w:color w:val="auto"/>
        </w:rPr>
      </w:pPr>
      <w:r>
        <w:rPr>
          <w:color w:val="auto"/>
        </w:rPr>
        <w:t xml:space="preserve">Kết quả tại Bảng 4.3 cho thấy Cronbach’s Alpha của các thang đo dao động từ 0,767 đến 0,902. Cụ thể, CCQ = 0,898; GTCN = 0,876; NTHV = 0,767; QDM = 0,902; TD = 0,892 và YDM = 0,869. Toàn bộ các giá trị đều vượt ngưỡng 0,70 </w:t>
      </w:r>
      <w:r>
        <w:rPr>
          <w:color w:val="auto"/>
        </w:rPr>
        <w:lastRenderedPageBreak/>
        <w:t>thường được sử dụng để đánh giá mức độ nhất quán nội tại của thang đo (Nunnally and Bernstein, 1994; Hair et al., 2022).</w:t>
      </w:r>
    </w:p>
    <w:p w:rsidR="00764EB5" w:rsidRDefault="00DF13CC" w:rsidP="003D6B28">
      <w:pPr>
        <w:rPr>
          <w:color w:val="auto"/>
        </w:rPr>
      </w:pPr>
      <w:r>
        <w:rPr>
          <w:color w:val="auto"/>
        </w:rPr>
        <w:t>Độ tin cậy tổng hợp rho_c dao động từ 0,860 đến 0,925, cũng đều lớn hơn 0,70. Việc đồng thời đáp ứng Cronbach’s Alpha và rho_c cho thấy không có thang đo nào biểu hiện mức độ nhất quán nội tại thấp đến mức phải loại khỏi mô hình.</w:t>
      </w:r>
    </w:p>
    <w:p w:rsidR="00764EB5" w:rsidRDefault="00DF13CC" w:rsidP="003D6B28">
      <w:pPr>
        <w:rPr>
          <w:color w:val="auto"/>
        </w:rPr>
      </w:pPr>
      <w:r>
        <w:rPr>
          <w:color w:val="auto"/>
        </w:rPr>
        <w:t>Tuy nhiên, cần tránh cách diễn giải máy móc rằng thang đo có Alpha cao nhất là thang đo “tốt nhất” hoặc biến có vai trò quan trọng nhất trong mô hình. Độ tin cậy phản ánh chất lượng đo lường, không phản ánh sức mạnh tác động trong mô hình cấu trúc.</w:t>
      </w:r>
    </w:p>
    <w:p w:rsidR="00764EB5" w:rsidRDefault="00DF13CC" w:rsidP="003D6B28">
      <w:pPr>
        <w:rPr>
          <w:color w:val="auto"/>
        </w:rPr>
      </w:pPr>
      <w:r>
        <w:rPr>
          <w:color w:val="auto"/>
        </w:rPr>
        <w:t>Cronbach’s Alpha  của NTHV đạt thấp nhất với 0,767, nhưng vẫn vượt ngưỡng chấp nhận. Hơn nữa, thang đo NTHV chỉ gồm ba biến quan sát, ít hơn một số thang đo khác. Do Cronbach’s Alpha có thể chịu ảnh hưởng bởi số lượng biến quan sát, chênh lệch giữa NTHV và các thang đo có Alpha gần 0,90 không đủ cơ sở để kết luận NTHV có chất lượng đo lường không đạt yêu cầu.</w:t>
      </w:r>
    </w:p>
    <w:p w:rsidR="00764EB5" w:rsidRDefault="00DF13CC" w:rsidP="003D6B28">
      <w:pPr>
        <w:rPr>
          <w:color w:val="auto"/>
        </w:rPr>
      </w:pPr>
      <w:r>
        <w:rPr>
          <w:color w:val="auto"/>
        </w:rPr>
        <w:t>Đối với NTHV, rho_a = 0,896 cao hơn rho_c = 0,860. Kết quả này cho thấy việc đánh giá độ tin cậy không nên áp dụng một thứ tự cứng nhắc giữa các hệ số. Thang đo cần được đánh giá đồng thời với hệ số tải ngoài và AVE ở các bước tiếp theo. Với cách tiếp cận tổng hợp này, các chỉ số hiện có nhìn chung hỗ trợ việc duy trì NTHV trong mô hình.</w:t>
      </w:r>
    </w:p>
    <w:p w:rsidR="00764EB5" w:rsidRPr="006575F3" w:rsidRDefault="00DF13CC" w:rsidP="00021C6B">
      <w:pPr>
        <w:pStyle w:val="Heading3"/>
        <w:rPr>
          <w:b w:val="0"/>
        </w:rPr>
      </w:pPr>
      <w:bookmarkStart w:id="473" w:name="_Toc241062475"/>
      <w:bookmarkStart w:id="474" w:name="_Toc241064404"/>
      <w:bookmarkStart w:id="475" w:name="_Toc241065337"/>
      <w:bookmarkStart w:id="476" w:name="_Toc241065555"/>
      <w:r w:rsidRPr="006575F3">
        <w:rPr>
          <w:b w:val="0"/>
        </w:rPr>
        <w:t>4.2.2.2. Đánh giá hệ số tải ngoài của mô hình đo lường</w:t>
      </w:r>
      <w:bookmarkEnd w:id="473"/>
      <w:bookmarkEnd w:id="474"/>
      <w:bookmarkEnd w:id="475"/>
      <w:bookmarkEnd w:id="476"/>
    </w:p>
    <w:p w:rsidR="00764EB5" w:rsidRDefault="00DF13CC" w:rsidP="006575F3">
      <w:pPr>
        <w:pStyle w:val="DMB"/>
        <w:outlineLvl w:val="0"/>
        <w:rPr>
          <w:i w:val="0"/>
        </w:rPr>
      </w:pPr>
      <w:bookmarkStart w:id="477" w:name="__RefHeading___Toc7805_1147916741"/>
      <w:bookmarkStart w:id="478" w:name="_Toc238482026"/>
      <w:bookmarkStart w:id="479" w:name="_Toc241064405"/>
      <w:bookmarkStart w:id="480" w:name="_Toc241065556"/>
      <w:bookmarkEnd w:id="477"/>
      <w:r>
        <w:t>Bảng 4.4. Hệ số tải ngoài của các biến quan sát</w:t>
      </w:r>
      <w:bookmarkEnd w:id="478"/>
      <w:bookmarkEnd w:id="479"/>
      <w:bookmarkEnd w:id="480"/>
    </w:p>
    <w:tbl>
      <w:tblPr>
        <w:tblW w:w="5311" w:type="pct"/>
        <w:jc w:val="center"/>
        <w:tblLayout w:type="fixed"/>
        <w:tblLook w:val="04A0" w:firstRow="1" w:lastRow="0" w:firstColumn="1" w:lastColumn="0" w:noHBand="0" w:noVBand="1"/>
      </w:tblPr>
      <w:tblGrid>
        <w:gridCol w:w="1094"/>
        <w:gridCol w:w="1408"/>
        <w:gridCol w:w="1409"/>
        <w:gridCol w:w="1408"/>
        <w:gridCol w:w="1409"/>
        <w:gridCol w:w="1426"/>
        <w:gridCol w:w="1409"/>
      </w:tblGrid>
      <w:tr w:rsidR="00764EB5">
        <w:trPr>
          <w:trHeight w:val="290"/>
          <w:jc w:val="center"/>
        </w:trPr>
        <w:tc>
          <w:tcPr>
            <w:tcW w:w="1102" w:type="dxa"/>
            <w:vAlign w:val="bottom"/>
          </w:tcPr>
          <w:p w:rsidR="00764EB5" w:rsidRDefault="00764EB5" w:rsidP="003D6B28">
            <w:pPr>
              <w:rPr>
                <w:szCs w:val="26"/>
              </w:rPr>
            </w:pPr>
          </w:p>
        </w:tc>
        <w:tc>
          <w:tcPr>
            <w:tcW w:w="1417"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jc w:val="center"/>
              <w:rPr>
                <w:szCs w:val="26"/>
              </w:rPr>
            </w:pPr>
            <w:r>
              <w:rPr>
                <w:szCs w:val="26"/>
              </w:rPr>
              <w:t>CCQ</w:t>
            </w:r>
          </w:p>
        </w:tc>
        <w:tc>
          <w:tcPr>
            <w:tcW w:w="1418" w:type="dxa"/>
            <w:tcBorders>
              <w:top w:val="single" w:sz="4" w:space="0" w:color="000000"/>
              <w:bottom w:val="single" w:sz="4" w:space="0" w:color="000000"/>
              <w:right w:val="single" w:sz="4" w:space="0" w:color="000000"/>
            </w:tcBorders>
            <w:vAlign w:val="bottom"/>
          </w:tcPr>
          <w:p w:rsidR="00764EB5" w:rsidRDefault="00DF13CC" w:rsidP="003D6B28">
            <w:pPr>
              <w:jc w:val="center"/>
              <w:rPr>
                <w:szCs w:val="26"/>
              </w:rPr>
            </w:pPr>
            <w:r>
              <w:rPr>
                <w:szCs w:val="26"/>
              </w:rPr>
              <w:t>GTCN</w:t>
            </w:r>
          </w:p>
        </w:tc>
        <w:tc>
          <w:tcPr>
            <w:tcW w:w="1417" w:type="dxa"/>
            <w:tcBorders>
              <w:top w:val="single" w:sz="4" w:space="0" w:color="000000"/>
              <w:bottom w:val="single" w:sz="4" w:space="0" w:color="000000"/>
              <w:right w:val="single" w:sz="4" w:space="0" w:color="000000"/>
            </w:tcBorders>
            <w:vAlign w:val="bottom"/>
          </w:tcPr>
          <w:p w:rsidR="00764EB5" w:rsidRDefault="00DF13CC" w:rsidP="003D6B28">
            <w:pPr>
              <w:jc w:val="center"/>
              <w:rPr>
                <w:szCs w:val="26"/>
              </w:rPr>
            </w:pPr>
            <w:r>
              <w:rPr>
                <w:szCs w:val="26"/>
              </w:rPr>
              <w:t>NTHV</w:t>
            </w:r>
          </w:p>
        </w:tc>
        <w:tc>
          <w:tcPr>
            <w:tcW w:w="1418" w:type="dxa"/>
            <w:tcBorders>
              <w:top w:val="single" w:sz="4" w:space="0" w:color="000000"/>
              <w:bottom w:val="single" w:sz="4" w:space="0" w:color="000000"/>
              <w:right w:val="single" w:sz="4" w:space="0" w:color="000000"/>
            </w:tcBorders>
            <w:vAlign w:val="bottom"/>
          </w:tcPr>
          <w:p w:rsidR="00764EB5" w:rsidRDefault="00DF13CC" w:rsidP="003D6B28">
            <w:pPr>
              <w:jc w:val="center"/>
              <w:rPr>
                <w:szCs w:val="26"/>
              </w:rPr>
            </w:pPr>
            <w:r>
              <w:rPr>
                <w:szCs w:val="26"/>
              </w:rPr>
              <w:t>QDM</w:t>
            </w:r>
          </w:p>
        </w:tc>
        <w:tc>
          <w:tcPr>
            <w:tcW w:w="1435" w:type="dxa"/>
            <w:tcBorders>
              <w:top w:val="single" w:sz="4" w:space="0" w:color="000000"/>
              <w:bottom w:val="single" w:sz="4" w:space="0" w:color="000000"/>
              <w:right w:val="single" w:sz="4" w:space="0" w:color="000000"/>
            </w:tcBorders>
            <w:vAlign w:val="bottom"/>
          </w:tcPr>
          <w:p w:rsidR="00764EB5" w:rsidRDefault="00DF13CC" w:rsidP="003D6B28">
            <w:pPr>
              <w:jc w:val="center"/>
              <w:rPr>
                <w:szCs w:val="26"/>
              </w:rPr>
            </w:pPr>
            <w:r>
              <w:rPr>
                <w:szCs w:val="26"/>
              </w:rPr>
              <w:t>TD</w:t>
            </w:r>
          </w:p>
        </w:tc>
        <w:tc>
          <w:tcPr>
            <w:tcW w:w="1418" w:type="dxa"/>
            <w:tcBorders>
              <w:top w:val="single" w:sz="4" w:space="0" w:color="000000"/>
              <w:bottom w:val="single" w:sz="4" w:space="0" w:color="000000"/>
              <w:right w:val="single" w:sz="4" w:space="0" w:color="000000"/>
            </w:tcBorders>
            <w:vAlign w:val="bottom"/>
          </w:tcPr>
          <w:p w:rsidR="00764EB5" w:rsidRDefault="00DF13CC" w:rsidP="003D6B28">
            <w:pPr>
              <w:jc w:val="center"/>
              <w:rPr>
                <w:szCs w:val="26"/>
              </w:rPr>
            </w:pPr>
            <w:r>
              <w:rPr>
                <w:szCs w:val="26"/>
              </w:rPr>
              <w:t>YDM</w:t>
            </w:r>
          </w:p>
        </w:tc>
      </w:tr>
      <w:tr w:rsidR="00764EB5">
        <w:trPr>
          <w:trHeight w:val="290"/>
          <w:jc w:val="center"/>
        </w:trPr>
        <w:tc>
          <w:tcPr>
            <w:tcW w:w="1102"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CCQ1</w:t>
            </w:r>
          </w:p>
        </w:tc>
        <w:tc>
          <w:tcPr>
            <w:tcW w:w="1417" w:type="dxa"/>
            <w:tcBorders>
              <w:bottom w:val="single" w:sz="4" w:space="0" w:color="000000"/>
              <w:right w:val="single" w:sz="4" w:space="0" w:color="000000"/>
            </w:tcBorders>
            <w:vAlign w:val="bottom"/>
          </w:tcPr>
          <w:p w:rsidR="00764EB5" w:rsidRDefault="00DF13CC" w:rsidP="003D6B28">
            <w:pPr>
              <w:jc w:val="center"/>
              <w:rPr>
                <w:szCs w:val="26"/>
              </w:rPr>
            </w:pPr>
            <w:r>
              <w:rPr>
                <w:szCs w:val="26"/>
              </w:rPr>
              <w:t>0,831</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CCQ2</w:t>
            </w:r>
          </w:p>
        </w:tc>
        <w:tc>
          <w:tcPr>
            <w:tcW w:w="1417" w:type="dxa"/>
            <w:tcBorders>
              <w:bottom w:val="single" w:sz="4" w:space="0" w:color="000000"/>
              <w:right w:val="single" w:sz="4" w:space="0" w:color="000000"/>
            </w:tcBorders>
            <w:vAlign w:val="bottom"/>
          </w:tcPr>
          <w:p w:rsidR="00764EB5" w:rsidRDefault="00DF13CC" w:rsidP="003D6B28">
            <w:pPr>
              <w:jc w:val="center"/>
              <w:rPr>
                <w:szCs w:val="26"/>
              </w:rPr>
            </w:pPr>
            <w:r>
              <w:rPr>
                <w:szCs w:val="26"/>
              </w:rPr>
              <w:t>0,851</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CCQ3</w:t>
            </w:r>
          </w:p>
        </w:tc>
        <w:tc>
          <w:tcPr>
            <w:tcW w:w="1417" w:type="dxa"/>
            <w:tcBorders>
              <w:bottom w:val="single" w:sz="4" w:space="0" w:color="000000"/>
              <w:right w:val="single" w:sz="4" w:space="0" w:color="000000"/>
            </w:tcBorders>
            <w:vAlign w:val="bottom"/>
          </w:tcPr>
          <w:p w:rsidR="00764EB5" w:rsidRDefault="00DF13CC" w:rsidP="003D6B28">
            <w:pPr>
              <w:jc w:val="center"/>
              <w:rPr>
                <w:szCs w:val="26"/>
              </w:rPr>
            </w:pPr>
            <w:r>
              <w:rPr>
                <w:szCs w:val="26"/>
              </w:rPr>
              <w:t>0,780</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CCQ4</w:t>
            </w:r>
          </w:p>
        </w:tc>
        <w:tc>
          <w:tcPr>
            <w:tcW w:w="1417" w:type="dxa"/>
            <w:tcBorders>
              <w:bottom w:val="single" w:sz="4" w:space="0" w:color="000000"/>
              <w:right w:val="single" w:sz="4" w:space="0" w:color="000000"/>
            </w:tcBorders>
            <w:vAlign w:val="bottom"/>
          </w:tcPr>
          <w:p w:rsidR="00764EB5" w:rsidRDefault="00DF13CC" w:rsidP="003D6B28">
            <w:pPr>
              <w:jc w:val="center"/>
              <w:rPr>
                <w:szCs w:val="26"/>
              </w:rPr>
            </w:pPr>
            <w:r>
              <w:rPr>
                <w:szCs w:val="26"/>
              </w:rPr>
              <w:t>0,771</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CCQ5</w:t>
            </w:r>
          </w:p>
        </w:tc>
        <w:tc>
          <w:tcPr>
            <w:tcW w:w="1417" w:type="dxa"/>
            <w:tcBorders>
              <w:bottom w:val="single" w:sz="4" w:space="0" w:color="000000"/>
              <w:right w:val="single" w:sz="4" w:space="0" w:color="000000"/>
            </w:tcBorders>
            <w:vAlign w:val="bottom"/>
          </w:tcPr>
          <w:p w:rsidR="00764EB5" w:rsidRDefault="00DF13CC" w:rsidP="003D6B28">
            <w:pPr>
              <w:jc w:val="center"/>
              <w:rPr>
                <w:szCs w:val="26"/>
              </w:rPr>
            </w:pPr>
            <w:r>
              <w:rPr>
                <w:szCs w:val="26"/>
              </w:rPr>
              <w:t>0,779</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CCQ6</w:t>
            </w:r>
          </w:p>
        </w:tc>
        <w:tc>
          <w:tcPr>
            <w:tcW w:w="1417" w:type="dxa"/>
            <w:tcBorders>
              <w:bottom w:val="single" w:sz="4" w:space="0" w:color="000000"/>
              <w:right w:val="single" w:sz="4" w:space="0" w:color="000000"/>
            </w:tcBorders>
            <w:vAlign w:val="bottom"/>
          </w:tcPr>
          <w:p w:rsidR="00764EB5" w:rsidRDefault="00DF13CC" w:rsidP="003D6B28">
            <w:pPr>
              <w:jc w:val="center"/>
              <w:rPr>
                <w:szCs w:val="26"/>
              </w:rPr>
            </w:pPr>
            <w:r>
              <w:rPr>
                <w:szCs w:val="26"/>
              </w:rPr>
              <w:t>0,868</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GTCN1</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0,792</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lastRenderedPageBreak/>
              <w:t>GTCN2</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0,804</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rsidTr="002124B8">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GTCN3</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0,784</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rsidTr="002124B8">
        <w:trPr>
          <w:trHeight w:val="290"/>
          <w:jc w:val="center"/>
        </w:trPr>
        <w:tc>
          <w:tcPr>
            <w:tcW w:w="1102"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GTCN4</w:t>
            </w:r>
          </w:p>
        </w:tc>
        <w:tc>
          <w:tcPr>
            <w:tcW w:w="1417" w:type="dxa"/>
            <w:tcBorders>
              <w:top w:val="single" w:sz="4" w:space="0" w:color="000000"/>
              <w:bottom w:val="single" w:sz="4" w:space="0" w:color="000000"/>
              <w:right w:val="single" w:sz="4" w:space="0" w:color="000000"/>
            </w:tcBorders>
            <w:vAlign w:val="bottom"/>
          </w:tcPr>
          <w:p w:rsidR="00764EB5" w:rsidRDefault="00764EB5" w:rsidP="003D6B28">
            <w:pPr>
              <w:jc w:val="center"/>
              <w:rPr>
                <w:szCs w:val="26"/>
              </w:rPr>
            </w:pPr>
          </w:p>
        </w:tc>
        <w:tc>
          <w:tcPr>
            <w:tcW w:w="1418" w:type="dxa"/>
            <w:tcBorders>
              <w:top w:val="single" w:sz="4" w:space="0" w:color="000000"/>
              <w:bottom w:val="single" w:sz="4" w:space="0" w:color="000000"/>
              <w:right w:val="single" w:sz="4" w:space="0" w:color="000000"/>
            </w:tcBorders>
            <w:vAlign w:val="bottom"/>
          </w:tcPr>
          <w:p w:rsidR="00764EB5" w:rsidRDefault="00DF13CC" w:rsidP="003D6B28">
            <w:pPr>
              <w:jc w:val="center"/>
              <w:rPr>
                <w:szCs w:val="26"/>
              </w:rPr>
            </w:pPr>
            <w:r>
              <w:rPr>
                <w:szCs w:val="26"/>
              </w:rPr>
              <w:t>0,838</w:t>
            </w:r>
          </w:p>
        </w:tc>
        <w:tc>
          <w:tcPr>
            <w:tcW w:w="1417" w:type="dxa"/>
            <w:tcBorders>
              <w:top w:val="single" w:sz="4" w:space="0" w:color="000000"/>
              <w:bottom w:val="single" w:sz="4" w:space="0" w:color="000000"/>
              <w:right w:val="single" w:sz="4" w:space="0" w:color="000000"/>
            </w:tcBorders>
            <w:vAlign w:val="bottom"/>
          </w:tcPr>
          <w:p w:rsidR="00764EB5" w:rsidRDefault="00764EB5" w:rsidP="003D6B28">
            <w:pPr>
              <w:jc w:val="center"/>
              <w:rPr>
                <w:szCs w:val="26"/>
              </w:rPr>
            </w:pPr>
          </w:p>
        </w:tc>
        <w:tc>
          <w:tcPr>
            <w:tcW w:w="1418" w:type="dxa"/>
            <w:tcBorders>
              <w:top w:val="single" w:sz="4" w:space="0" w:color="000000"/>
              <w:bottom w:val="single" w:sz="4" w:space="0" w:color="000000"/>
              <w:right w:val="single" w:sz="4" w:space="0" w:color="000000"/>
            </w:tcBorders>
            <w:vAlign w:val="bottom"/>
          </w:tcPr>
          <w:p w:rsidR="00764EB5" w:rsidRDefault="00764EB5" w:rsidP="003D6B28">
            <w:pPr>
              <w:jc w:val="center"/>
              <w:rPr>
                <w:szCs w:val="26"/>
              </w:rPr>
            </w:pPr>
          </w:p>
        </w:tc>
        <w:tc>
          <w:tcPr>
            <w:tcW w:w="1435" w:type="dxa"/>
            <w:tcBorders>
              <w:top w:val="single" w:sz="4" w:space="0" w:color="000000"/>
              <w:bottom w:val="single" w:sz="4" w:space="0" w:color="000000"/>
              <w:right w:val="single" w:sz="4" w:space="0" w:color="000000"/>
            </w:tcBorders>
            <w:vAlign w:val="bottom"/>
          </w:tcPr>
          <w:p w:rsidR="00764EB5" w:rsidRDefault="00764EB5" w:rsidP="003D6B28">
            <w:pPr>
              <w:jc w:val="center"/>
              <w:rPr>
                <w:szCs w:val="26"/>
              </w:rPr>
            </w:pPr>
          </w:p>
        </w:tc>
        <w:tc>
          <w:tcPr>
            <w:tcW w:w="1418" w:type="dxa"/>
            <w:tcBorders>
              <w:top w:val="single" w:sz="4" w:space="0" w:color="000000"/>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GTCN5</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0,866</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NTHV1</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DF13CC" w:rsidP="003D6B28">
            <w:pPr>
              <w:jc w:val="center"/>
              <w:rPr>
                <w:szCs w:val="26"/>
              </w:rPr>
            </w:pPr>
            <w:r>
              <w:rPr>
                <w:szCs w:val="26"/>
              </w:rPr>
              <w:t>0,754</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NTHV2</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DF13CC" w:rsidP="003D6B28">
            <w:pPr>
              <w:jc w:val="center"/>
              <w:rPr>
                <w:szCs w:val="26"/>
              </w:rPr>
            </w:pPr>
            <w:r>
              <w:rPr>
                <w:szCs w:val="26"/>
              </w:rPr>
              <w:t>0,786</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NTHV3</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DF13CC" w:rsidP="003D6B28">
            <w:pPr>
              <w:jc w:val="center"/>
              <w:rPr>
                <w:szCs w:val="26"/>
              </w:rPr>
            </w:pPr>
            <w:r>
              <w:rPr>
                <w:szCs w:val="26"/>
              </w:rPr>
              <w:t>0,913</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QDM1</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0,782</w:t>
            </w: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QDM2</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0,818</w:t>
            </w: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QDM3</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0,806</w:t>
            </w: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QDM4</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0,741</w:t>
            </w: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QDM5</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0,922</w:t>
            </w: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rsidTr="006575F3">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QDM6</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0,847</w:t>
            </w: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rsidTr="006575F3">
        <w:trPr>
          <w:trHeight w:val="290"/>
          <w:jc w:val="center"/>
        </w:trPr>
        <w:tc>
          <w:tcPr>
            <w:tcW w:w="1102"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ind w:firstLine="0"/>
              <w:jc w:val="left"/>
              <w:rPr>
                <w:szCs w:val="26"/>
              </w:rPr>
            </w:pPr>
            <w:r>
              <w:rPr>
                <w:szCs w:val="26"/>
              </w:rPr>
              <w:t>TD1</w:t>
            </w:r>
          </w:p>
        </w:tc>
        <w:tc>
          <w:tcPr>
            <w:tcW w:w="1417" w:type="dxa"/>
            <w:tcBorders>
              <w:top w:val="single" w:sz="4" w:space="0" w:color="000000"/>
              <w:bottom w:val="single" w:sz="4" w:space="0" w:color="000000"/>
              <w:right w:val="single" w:sz="4" w:space="0" w:color="000000"/>
            </w:tcBorders>
            <w:vAlign w:val="bottom"/>
          </w:tcPr>
          <w:p w:rsidR="00764EB5" w:rsidRDefault="00764EB5" w:rsidP="003D6B28">
            <w:pPr>
              <w:jc w:val="center"/>
              <w:rPr>
                <w:szCs w:val="26"/>
              </w:rPr>
            </w:pPr>
          </w:p>
        </w:tc>
        <w:tc>
          <w:tcPr>
            <w:tcW w:w="1418" w:type="dxa"/>
            <w:tcBorders>
              <w:top w:val="single" w:sz="4" w:space="0" w:color="000000"/>
              <w:bottom w:val="single" w:sz="4" w:space="0" w:color="000000"/>
              <w:right w:val="single" w:sz="4" w:space="0" w:color="000000"/>
            </w:tcBorders>
            <w:vAlign w:val="bottom"/>
          </w:tcPr>
          <w:p w:rsidR="00764EB5" w:rsidRDefault="00764EB5" w:rsidP="003D6B28">
            <w:pPr>
              <w:jc w:val="center"/>
              <w:rPr>
                <w:szCs w:val="26"/>
              </w:rPr>
            </w:pPr>
          </w:p>
        </w:tc>
        <w:tc>
          <w:tcPr>
            <w:tcW w:w="1417" w:type="dxa"/>
            <w:tcBorders>
              <w:top w:val="single" w:sz="4" w:space="0" w:color="000000"/>
              <w:bottom w:val="single" w:sz="4" w:space="0" w:color="000000"/>
              <w:right w:val="single" w:sz="4" w:space="0" w:color="000000"/>
            </w:tcBorders>
            <w:vAlign w:val="bottom"/>
          </w:tcPr>
          <w:p w:rsidR="00764EB5" w:rsidRDefault="00764EB5" w:rsidP="003D6B28">
            <w:pPr>
              <w:jc w:val="center"/>
              <w:rPr>
                <w:szCs w:val="26"/>
              </w:rPr>
            </w:pPr>
          </w:p>
        </w:tc>
        <w:tc>
          <w:tcPr>
            <w:tcW w:w="1418" w:type="dxa"/>
            <w:tcBorders>
              <w:top w:val="single" w:sz="4" w:space="0" w:color="000000"/>
              <w:bottom w:val="single" w:sz="4" w:space="0" w:color="000000"/>
              <w:right w:val="single" w:sz="4" w:space="0" w:color="000000"/>
            </w:tcBorders>
            <w:vAlign w:val="bottom"/>
          </w:tcPr>
          <w:p w:rsidR="00764EB5" w:rsidRDefault="00764EB5" w:rsidP="003D6B28">
            <w:pPr>
              <w:jc w:val="center"/>
              <w:rPr>
                <w:szCs w:val="26"/>
              </w:rPr>
            </w:pPr>
          </w:p>
        </w:tc>
        <w:tc>
          <w:tcPr>
            <w:tcW w:w="1435" w:type="dxa"/>
            <w:tcBorders>
              <w:top w:val="single" w:sz="4" w:space="0" w:color="000000"/>
              <w:bottom w:val="single" w:sz="4" w:space="0" w:color="000000"/>
              <w:right w:val="single" w:sz="4" w:space="0" w:color="000000"/>
            </w:tcBorders>
            <w:vAlign w:val="bottom"/>
          </w:tcPr>
          <w:p w:rsidR="00764EB5" w:rsidRDefault="00DF13CC" w:rsidP="003D6B28">
            <w:pPr>
              <w:jc w:val="center"/>
              <w:rPr>
                <w:szCs w:val="26"/>
              </w:rPr>
            </w:pPr>
            <w:r>
              <w:rPr>
                <w:szCs w:val="26"/>
              </w:rPr>
              <w:t>0,905</w:t>
            </w:r>
          </w:p>
        </w:tc>
        <w:tc>
          <w:tcPr>
            <w:tcW w:w="1418" w:type="dxa"/>
            <w:tcBorders>
              <w:top w:val="single" w:sz="4" w:space="0" w:color="000000"/>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jc w:val="left"/>
              <w:rPr>
                <w:szCs w:val="26"/>
              </w:rPr>
            </w:pPr>
            <w:r>
              <w:rPr>
                <w:szCs w:val="26"/>
              </w:rPr>
              <w:t>TD2</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DF13CC" w:rsidP="003D6B28">
            <w:pPr>
              <w:jc w:val="center"/>
              <w:rPr>
                <w:szCs w:val="26"/>
              </w:rPr>
            </w:pPr>
            <w:r>
              <w:rPr>
                <w:szCs w:val="26"/>
              </w:rPr>
              <w:t>0,804</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jc w:val="left"/>
              <w:rPr>
                <w:szCs w:val="26"/>
              </w:rPr>
            </w:pPr>
            <w:r>
              <w:rPr>
                <w:szCs w:val="26"/>
              </w:rPr>
              <w:t>TD3</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DF13CC" w:rsidP="003D6B28">
            <w:pPr>
              <w:jc w:val="center"/>
              <w:rPr>
                <w:szCs w:val="26"/>
              </w:rPr>
            </w:pPr>
            <w:r>
              <w:rPr>
                <w:szCs w:val="26"/>
              </w:rPr>
              <w:t>0,810</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jc w:val="left"/>
              <w:rPr>
                <w:szCs w:val="26"/>
              </w:rPr>
            </w:pPr>
            <w:r>
              <w:rPr>
                <w:szCs w:val="26"/>
              </w:rPr>
              <w:t>TD4</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DF13CC" w:rsidP="003D6B28">
            <w:pPr>
              <w:jc w:val="center"/>
              <w:rPr>
                <w:szCs w:val="26"/>
              </w:rPr>
            </w:pPr>
            <w:r>
              <w:rPr>
                <w:szCs w:val="26"/>
              </w:rPr>
              <w:t>0,819</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jc w:val="left"/>
              <w:rPr>
                <w:szCs w:val="26"/>
              </w:rPr>
            </w:pPr>
            <w:r>
              <w:rPr>
                <w:szCs w:val="26"/>
              </w:rPr>
              <w:t>TD5</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DF13CC" w:rsidP="003D6B28">
            <w:pPr>
              <w:jc w:val="center"/>
              <w:rPr>
                <w:szCs w:val="26"/>
              </w:rPr>
            </w:pPr>
            <w:r>
              <w:rPr>
                <w:szCs w:val="26"/>
              </w:rPr>
              <w:t>0,842</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YDM1</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0,828</w:t>
            </w: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YDM2</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0,780</w:t>
            </w: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YDM3</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0,786</w:t>
            </w: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YDM4</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0,759</w:t>
            </w: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YDM5</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0,734</w:t>
            </w:r>
          </w:p>
        </w:tc>
      </w:tr>
      <w:tr w:rsidR="00764EB5">
        <w:trPr>
          <w:trHeight w:val="290"/>
          <w:jc w:val="center"/>
        </w:trPr>
        <w:tc>
          <w:tcPr>
            <w:tcW w:w="110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YDM6</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35"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0,776</w:t>
            </w:r>
          </w:p>
        </w:tc>
      </w:tr>
    </w:tbl>
    <w:p w:rsidR="00764EB5" w:rsidRPr="002124B8" w:rsidRDefault="00764EB5" w:rsidP="003D6B28">
      <w:pPr>
        <w:pStyle w:val="DMB"/>
        <w:rPr>
          <w:i w:val="0"/>
          <w:sz w:val="4"/>
        </w:rPr>
      </w:pPr>
    </w:p>
    <w:p w:rsidR="00764EB5" w:rsidRDefault="00DF13CC" w:rsidP="003D6B28">
      <w:pPr>
        <w:rPr>
          <w:color w:val="auto"/>
        </w:rPr>
      </w:pPr>
      <w:r w:rsidRPr="002124B8">
        <w:rPr>
          <w:color w:val="auto"/>
          <w:spacing w:val="-4"/>
        </w:rPr>
        <w:t>Bảng 4.4 cho thấy hệ số tải ngoài của toàn bộ 31 biến quan sát nằm trong khoảng từ 0,734 đến 0,922 và đều vượt ngưỡng 0,70. Điều này cho thấy các chỉ báo có mức độ liên hệ tương đối tốt với cấu trúc tiềm ẩn mà chúng được thiết kế để đo lường</w:t>
      </w:r>
      <w:r>
        <w:rPr>
          <w:color w:val="auto"/>
        </w:rPr>
        <w:t>.</w:t>
      </w:r>
    </w:p>
    <w:p w:rsidR="00764EB5" w:rsidRDefault="00DF13CC" w:rsidP="003D6B28">
      <w:pPr>
        <w:rPr>
          <w:color w:val="auto"/>
        </w:rPr>
      </w:pPr>
      <w:r>
        <w:rPr>
          <w:color w:val="auto"/>
        </w:rPr>
        <w:t xml:space="preserve">Các hệ số tải không hoàn toàn đồng đều giữa các biến quan sát. Chẳng hạn, QDM5 đạt mức tải 0,922 trong khi QDM4 đạt 0,741; NTHV3 đạt 0,913 trong khi NTHV1 đạt 0,754; YDM5 đạt 0,734 trong khi một số biến YDM khác cao hơn. </w:t>
      </w:r>
      <w:r>
        <w:rPr>
          <w:color w:val="auto"/>
        </w:rPr>
        <w:lastRenderedPageBreak/>
        <w:t>Những khác biệt này phản ánh mức đóng góp khác nhau của từng chỉ báo vào cấu trúc, nhưng chưa tạo ra căn cứ để loại biến vì tất cả đều vượt ngưỡng tham khảo.</w:t>
      </w:r>
    </w:p>
    <w:p w:rsidR="00764EB5" w:rsidRDefault="00DF13CC" w:rsidP="002124B8">
      <w:pPr>
        <w:spacing w:line="353" w:lineRule="auto"/>
        <w:rPr>
          <w:color w:val="auto"/>
        </w:rPr>
      </w:pPr>
      <w:r>
        <w:rPr>
          <w:color w:val="auto"/>
        </w:rPr>
        <w:t>Việc giữ lại toàn bộ các biến quan sát có một ý nghĩa quan trọng về nội dung. Thang đo của luận án không chỉ được xây dựng nhằm tối đa hóa chỉ số thống kê mà còn phải bảo toàn nội hàm khái niệm được hình thành từ tổng quan lý thuyết và nghiên cứu định tính. Việc loại bỏ một biến chỉ để làm tăng Alpha hoặc AVE có thể khiến thang đo trở nên hẹp hơn về mặt khái niệm. Kết quả tải ngoài hiện tại cho phép nghiên cứu vừa duy trì chất lượng thống kê vừa bảo toàn cấu trúc nội dung của các thang đo.</w:t>
      </w:r>
    </w:p>
    <w:p w:rsidR="00764EB5" w:rsidRPr="006575F3" w:rsidRDefault="00DF13CC" w:rsidP="00021C6B">
      <w:pPr>
        <w:pStyle w:val="Heading3"/>
        <w:rPr>
          <w:b w:val="0"/>
        </w:rPr>
      </w:pPr>
      <w:bookmarkStart w:id="481" w:name="_Toc234224136"/>
      <w:bookmarkStart w:id="482" w:name="_Toc241062476"/>
      <w:bookmarkStart w:id="483" w:name="_Toc241064406"/>
      <w:bookmarkStart w:id="484" w:name="_Toc241065339"/>
      <w:bookmarkStart w:id="485" w:name="_Toc241065557"/>
      <w:r w:rsidRPr="006575F3">
        <w:rPr>
          <w:b w:val="0"/>
        </w:rPr>
        <w:t>4.2.2.3. Đánh giá mô hình đo lường bằng PLS-SEM</w:t>
      </w:r>
      <w:bookmarkEnd w:id="481"/>
      <w:bookmarkEnd w:id="482"/>
      <w:bookmarkEnd w:id="483"/>
      <w:bookmarkEnd w:id="484"/>
      <w:bookmarkEnd w:id="485"/>
    </w:p>
    <w:p w:rsidR="00764EB5" w:rsidRDefault="00DF13CC" w:rsidP="002124B8">
      <w:pPr>
        <w:spacing w:line="353" w:lineRule="auto"/>
        <w:rPr>
          <w:color w:val="auto"/>
        </w:rPr>
      </w:pPr>
      <w:r>
        <w:rPr>
          <w:color w:val="auto"/>
        </w:rPr>
        <w:t>Sau khi hoàn tất các bước kiểm định sơ bộ bằng Cronbach’s Alpha và EFA, nghiên cứu tiến hành đánh giá mô hình đo lường thông qua phương pháp PLS-SEM trên phần mềm SmartPLS. Mục tiêu của bước này là kiểm định mức độ phù hợp của các thang đo trong việc đo lường các biến tiềm ẩn trong mô hình nghiên cứu. Việc đánh giá được thực hiện dựa trên ba tiêu chí chính: độ tin cậy thang đo, giá trị hội tụ và giá trị phân biệt, theo các khuyến nghị của Hair et al. (2022).</w:t>
      </w:r>
    </w:p>
    <w:p w:rsidR="00764EB5" w:rsidRDefault="00DF13CC" w:rsidP="00021C6B">
      <w:pPr>
        <w:pStyle w:val="Heading4"/>
      </w:pPr>
      <w:r>
        <w:t>(1) Độ tin cậy thang đo</w:t>
      </w:r>
    </w:p>
    <w:p w:rsidR="00764EB5" w:rsidRDefault="00DF13CC" w:rsidP="006575F3">
      <w:pPr>
        <w:spacing w:line="348" w:lineRule="auto"/>
        <w:rPr>
          <w:color w:val="auto"/>
        </w:rPr>
      </w:pPr>
      <w:r>
        <w:rPr>
          <w:color w:val="auto"/>
        </w:rPr>
        <w:t>AVE của các cấu trúc dao động từ 0,605 đến 0,700, đều vượt ngưỡng 0,50. Kết quả này cho thấy mỗi cấu trúc tiềm ẩn giải thích trên 50% phương sai trung bình của các biến quan sát thuộc cấu trúc đó, hỗ trợ giá trị hội tụ theo tiêu chuẩn của Fornell và Larcker (1981).</w:t>
      </w:r>
    </w:p>
    <w:p w:rsidR="00764EB5" w:rsidRDefault="00DF13CC" w:rsidP="006575F3">
      <w:pPr>
        <w:spacing w:line="348" w:lineRule="auto"/>
        <w:rPr>
          <w:color w:val="auto"/>
        </w:rPr>
      </w:pPr>
      <w:r>
        <w:rPr>
          <w:color w:val="auto"/>
        </w:rPr>
        <w:t>TD có AVE = 0,700; QDM = 0,674; NTHV = 0,673; GTCN = 0,668; CCQ = 0,663 và YDM = 0,605. Mặc dù YDM có AVE thấp nhất trong các cấu trúc, giá trị 0,605 vẫn cao hơn mức tối thiểu, vì vậy chưa có dấu hiệu cho thấy thang đo YDM không đạt giá trị hội tụ.</w:t>
      </w:r>
    </w:p>
    <w:p w:rsidR="00764EB5" w:rsidRDefault="00DF13CC" w:rsidP="006575F3">
      <w:pPr>
        <w:spacing w:line="348" w:lineRule="auto"/>
        <w:rPr>
          <w:color w:val="auto"/>
        </w:rPr>
      </w:pPr>
      <w:r>
        <w:rPr>
          <w:color w:val="auto"/>
        </w:rPr>
        <w:t>Kết quả này đặc biệt quan trọng đối với YDM và QDM. Hai cấu trúc này nằm gần nhau trong tiến trình hành vi và về mặt ngôn ngữ có thể dễ bị nhầm lẫn nếu thang đo không được thiết kế rõ. Việc cả hai thang đo đều có outer loading đạt yêu cầu và AVE trên 0,50 là bằng chứng bước đầu cho thấy các biến quan sát hội tụ vào đúng cấu trúc dự kiến.</w:t>
      </w:r>
    </w:p>
    <w:p w:rsidR="00764EB5" w:rsidRDefault="00DF13CC" w:rsidP="006575F3">
      <w:pPr>
        <w:spacing w:line="348" w:lineRule="auto"/>
        <w:rPr>
          <w:color w:val="auto"/>
        </w:rPr>
      </w:pPr>
      <w:r>
        <w:rPr>
          <w:color w:val="auto"/>
        </w:rPr>
        <w:lastRenderedPageBreak/>
        <w:t>Như vậy, việc kết hợp Cronbach’s Alpha, rho_c, outer loading và AVE cho thấy mô hình đo lường đạt mức phù hợp để tiếp tục kiểm định giá trị phân biệt và mô hình cấu trúc.</w:t>
      </w:r>
    </w:p>
    <w:p w:rsidR="00764EB5" w:rsidRDefault="00DF13CC" w:rsidP="006575F3">
      <w:pPr>
        <w:pStyle w:val="Heading4"/>
        <w:spacing w:line="348" w:lineRule="auto"/>
      </w:pPr>
      <w:r>
        <w:t>(2) Giá trị hội tụ</w:t>
      </w:r>
    </w:p>
    <w:p w:rsidR="00764EB5" w:rsidRDefault="00DF13CC" w:rsidP="006575F3">
      <w:pPr>
        <w:spacing w:line="348" w:lineRule="auto"/>
        <w:rPr>
          <w:color w:val="auto"/>
        </w:rPr>
      </w:pPr>
      <w:r>
        <w:rPr>
          <w:color w:val="auto"/>
        </w:rPr>
        <w:t>Giá trị hội tụ phản ánh mức độ các biến quan sát cùng đo lường một khái niệm có sự hội tụ với nhau. Trong nghiên cứu này, giá trị hội tụ được đánh giá thông qua hệ số tải ngoài (Outer Loading) và phương sai trích trung bình (Average Variance Extracted – AVE).</w:t>
      </w:r>
    </w:p>
    <w:p w:rsidR="00764EB5" w:rsidRDefault="00DF13CC" w:rsidP="006575F3">
      <w:pPr>
        <w:spacing w:line="348" w:lineRule="auto"/>
        <w:rPr>
          <w:color w:val="auto"/>
        </w:rPr>
      </w:pPr>
      <w:r>
        <w:rPr>
          <w:color w:val="auto"/>
        </w:rPr>
        <w:t>Kết quả tại Bảng 4.4 cho thấy hệ số tải ngoài của 31 biến quan sát đều lớn hơn 0,70. Các giá trị này hỗ trợ độ tin cậy chỉ báo trong mô hình đo lường và được xem xét đồng thời với CR và AVE khi đánh giá giá trị hội tụ (Hair et al., 2022).</w:t>
      </w:r>
    </w:p>
    <w:p w:rsidR="00764EB5" w:rsidRDefault="00DF13CC" w:rsidP="006575F3">
      <w:pPr>
        <w:spacing w:line="348" w:lineRule="auto"/>
        <w:rPr>
          <w:color w:val="auto"/>
        </w:rPr>
      </w:pPr>
      <w:r>
        <w:rPr>
          <w:color w:val="auto"/>
        </w:rPr>
        <w:t>Đồng thời, AVE của các thang đo dao động từ 0,605 đến 0,700 và đều lớn hơn 0,50. Điều này cho thấy mỗi biến tiềm ẩn giải thích trên 50% phương sai của các biến quan sát tương ứng, đáp ứng yêu cầu về giá trị hội tụ (Fornell and Larcker, 1981; Hair et al., 2022).</w:t>
      </w:r>
    </w:p>
    <w:p w:rsidR="00764EB5" w:rsidRDefault="00DF13CC" w:rsidP="003D6B28">
      <w:pPr>
        <w:rPr>
          <w:color w:val="auto"/>
        </w:rPr>
      </w:pPr>
      <w:r>
        <w:rPr>
          <w:color w:val="auto"/>
        </w:rPr>
        <w:t>Nhìn chung, hệ số tải ngoài và AVE được báo cáo đáp ứng các ngưỡng tham khảo sử dụng trong luận án, qua đó hỗ trợ giá trị hội tụ của các thang đo trong phạm vi mẫu nghiên cứu.</w:t>
      </w:r>
    </w:p>
    <w:p w:rsidR="00764EB5" w:rsidRDefault="00DF13CC" w:rsidP="00021C6B">
      <w:pPr>
        <w:pStyle w:val="Heading4"/>
      </w:pPr>
      <w:r>
        <w:t>(3) Giá trị phân biệt</w:t>
      </w:r>
    </w:p>
    <w:p w:rsidR="00764EB5" w:rsidRDefault="00DF13CC" w:rsidP="003D6B28">
      <w:pPr>
        <w:rPr>
          <w:color w:val="auto"/>
        </w:rPr>
      </w:pPr>
      <w:r>
        <w:rPr>
          <w:color w:val="auto"/>
        </w:rPr>
        <w:t>Giá trị phân biệt nhằm đảm bảo rằng các khái niệm nghiên cứu là khác biệt và không bị trùng lặp về nội dung đo lường. Trong nghiên cứu này, giá trị phân biệt được kiểm định thông qua hệ số HTMT (Heterotrait-Monotrait Ratio).</w:t>
      </w:r>
    </w:p>
    <w:p w:rsidR="00764EB5" w:rsidRDefault="00DF13CC" w:rsidP="006575F3">
      <w:pPr>
        <w:pStyle w:val="DMB"/>
        <w:outlineLvl w:val="0"/>
        <w:rPr>
          <w:i w:val="0"/>
        </w:rPr>
      </w:pPr>
      <w:bookmarkStart w:id="486" w:name="__RefHeading___Toc7803_1147916741"/>
      <w:bookmarkStart w:id="487" w:name="_Toc226534667"/>
      <w:bookmarkStart w:id="488" w:name="_Toc238482027"/>
      <w:bookmarkStart w:id="489" w:name="_Toc241064407"/>
      <w:bookmarkStart w:id="490" w:name="_Toc241065558"/>
      <w:bookmarkEnd w:id="486"/>
      <w:bookmarkEnd w:id="487"/>
      <w:r>
        <w:t>Bảng 4.5. Giá trị phân biệt (Ma trận HTMT)</w:t>
      </w:r>
      <w:bookmarkEnd w:id="488"/>
      <w:bookmarkEnd w:id="489"/>
      <w:bookmarkEnd w:id="490"/>
    </w:p>
    <w:tbl>
      <w:tblPr>
        <w:tblW w:w="5000" w:type="pct"/>
        <w:tblLayout w:type="fixed"/>
        <w:tblLook w:val="04A0" w:firstRow="1" w:lastRow="0" w:firstColumn="1" w:lastColumn="0" w:noHBand="0" w:noVBand="1"/>
      </w:tblPr>
      <w:tblGrid>
        <w:gridCol w:w="1234"/>
        <w:gridCol w:w="1409"/>
        <w:gridCol w:w="1408"/>
        <w:gridCol w:w="1409"/>
        <w:gridCol w:w="1325"/>
        <w:gridCol w:w="1109"/>
        <w:gridCol w:w="1109"/>
      </w:tblGrid>
      <w:tr w:rsidR="00764EB5">
        <w:trPr>
          <w:trHeight w:val="290"/>
        </w:trPr>
        <w:tc>
          <w:tcPr>
            <w:tcW w:w="1242" w:type="dxa"/>
            <w:vAlign w:val="bottom"/>
          </w:tcPr>
          <w:p w:rsidR="00764EB5" w:rsidRDefault="00764EB5" w:rsidP="003D6B28">
            <w:pPr>
              <w:jc w:val="center"/>
              <w:rPr>
                <w:szCs w:val="26"/>
              </w:rPr>
            </w:pPr>
          </w:p>
        </w:tc>
        <w:tc>
          <w:tcPr>
            <w:tcW w:w="1418"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jc w:val="center"/>
              <w:rPr>
                <w:szCs w:val="26"/>
              </w:rPr>
            </w:pPr>
            <w:r>
              <w:rPr>
                <w:szCs w:val="26"/>
              </w:rPr>
              <w:t>CCQ</w:t>
            </w:r>
          </w:p>
        </w:tc>
        <w:tc>
          <w:tcPr>
            <w:tcW w:w="1417" w:type="dxa"/>
            <w:tcBorders>
              <w:top w:val="single" w:sz="4" w:space="0" w:color="000000"/>
              <w:bottom w:val="single" w:sz="4" w:space="0" w:color="000000"/>
              <w:right w:val="single" w:sz="4" w:space="0" w:color="000000"/>
            </w:tcBorders>
            <w:vAlign w:val="bottom"/>
          </w:tcPr>
          <w:p w:rsidR="00764EB5" w:rsidRDefault="00DF13CC" w:rsidP="003D6B28">
            <w:pPr>
              <w:ind w:firstLine="0"/>
              <w:jc w:val="center"/>
              <w:rPr>
                <w:szCs w:val="26"/>
              </w:rPr>
            </w:pPr>
            <w:r>
              <w:rPr>
                <w:szCs w:val="26"/>
              </w:rPr>
              <w:t>GTCN</w:t>
            </w:r>
          </w:p>
        </w:tc>
        <w:tc>
          <w:tcPr>
            <w:tcW w:w="1418" w:type="dxa"/>
            <w:tcBorders>
              <w:top w:val="single" w:sz="4" w:space="0" w:color="000000"/>
              <w:bottom w:val="single" w:sz="4" w:space="0" w:color="000000"/>
              <w:right w:val="single" w:sz="4" w:space="0" w:color="000000"/>
            </w:tcBorders>
            <w:vAlign w:val="bottom"/>
          </w:tcPr>
          <w:p w:rsidR="00764EB5" w:rsidRDefault="00DF13CC" w:rsidP="003D6B28">
            <w:pPr>
              <w:ind w:firstLine="0"/>
              <w:jc w:val="center"/>
              <w:rPr>
                <w:szCs w:val="26"/>
              </w:rPr>
            </w:pPr>
            <w:r>
              <w:rPr>
                <w:szCs w:val="26"/>
              </w:rPr>
              <w:t>NTHV</w:t>
            </w:r>
          </w:p>
        </w:tc>
        <w:tc>
          <w:tcPr>
            <w:tcW w:w="1334" w:type="dxa"/>
            <w:tcBorders>
              <w:top w:val="single" w:sz="4" w:space="0" w:color="000000"/>
              <w:bottom w:val="single" w:sz="4" w:space="0" w:color="000000"/>
              <w:right w:val="single" w:sz="4" w:space="0" w:color="000000"/>
            </w:tcBorders>
            <w:vAlign w:val="bottom"/>
          </w:tcPr>
          <w:p w:rsidR="00764EB5" w:rsidRDefault="00DF13CC" w:rsidP="003D6B28">
            <w:pPr>
              <w:ind w:firstLine="0"/>
              <w:jc w:val="center"/>
              <w:rPr>
                <w:szCs w:val="26"/>
              </w:rPr>
            </w:pPr>
            <w:r>
              <w:rPr>
                <w:szCs w:val="26"/>
              </w:rPr>
              <w:t>QDM</w:t>
            </w:r>
          </w:p>
        </w:tc>
        <w:tc>
          <w:tcPr>
            <w:tcW w:w="1116" w:type="dxa"/>
            <w:tcBorders>
              <w:top w:val="single" w:sz="4" w:space="0" w:color="000000"/>
              <w:bottom w:val="single" w:sz="4" w:space="0" w:color="000000"/>
              <w:right w:val="single" w:sz="4" w:space="0" w:color="000000"/>
            </w:tcBorders>
            <w:vAlign w:val="bottom"/>
          </w:tcPr>
          <w:p w:rsidR="00764EB5" w:rsidRDefault="00DF13CC" w:rsidP="003D6B28">
            <w:pPr>
              <w:ind w:firstLine="0"/>
              <w:jc w:val="center"/>
              <w:rPr>
                <w:szCs w:val="26"/>
              </w:rPr>
            </w:pPr>
            <w:r>
              <w:rPr>
                <w:szCs w:val="26"/>
              </w:rPr>
              <w:t>TD</w:t>
            </w:r>
          </w:p>
        </w:tc>
        <w:tc>
          <w:tcPr>
            <w:tcW w:w="1116" w:type="dxa"/>
            <w:tcBorders>
              <w:top w:val="single" w:sz="4" w:space="0" w:color="000000"/>
              <w:bottom w:val="single" w:sz="4" w:space="0" w:color="000000"/>
              <w:right w:val="single" w:sz="4" w:space="0" w:color="000000"/>
            </w:tcBorders>
            <w:vAlign w:val="bottom"/>
          </w:tcPr>
          <w:p w:rsidR="00764EB5" w:rsidRDefault="00DF13CC" w:rsidP="003D6B28">
            <w:pPr>
              <w:ind w:firstLine="0"/>
              <w:jc w:val="center"/>
              <w:rPr>
                <w:szCs w:val="26"/>
              </w:rPr>
            </w:pPr>
            <w:r>
              <w:rPr>
                <w:szCs w:val="26"/>
              </w:rPr>
              <w:t>YDM</w:t>
            </w:r>
          </w:p>
        </w:tc>
      </w:tr>
      <w:tr w:rsidR="00764EB5">
        <w:trPr>
          <w:trHeight w:val="290"/>
        </w:trPr>
        <w:tc>
          <w:tcPr>
            <w:tcW w:w="1242"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CCQ</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334" w:type="dxa"/>
            <w:tcBorders>
              <w:bottom w:val="single" w:sz="4" w:space="0" w:color="000000"/>
              <w:right w:val="single" w:sz="4" w:space="0" w:color="000000"/>
            </w:tcBorders>
            <w:vAlign w:val="bottom"/>
          </w:tcPr>
          <w:p w:rsidR="00764EB5" w:rsidRDefault="00764EB5" w:rsidP="003D6B28">
            <w:pPr>
              <w:jc w:val="center"/>
              <w:rPr>
                <w:szCs w:val="26"/>
              </w:rPr>
            </w:pPr>
          </w:p>
        </w:tc>
        <w:tc>
          <w:tcPr>
            <w:tcW w:w="1116" w:type="dxa"/>
            <w:tcBorders>
              <w:bottom w:val="single" w:sz="4" w:space="0" w:color="000000"/>
              <w:right w:val="single" w:sz="4" w:space="0" w:color="000000"/>
            </w:tcBorders>
            <w:vAlign w:val="bottom"/>
          </w:tcPr>
          <w:p w:rsidR="00764EB5" w:rsidRDefault="00764EB5" w:rsidP="003D6B28">
            <w:pPr>
              <w:jc w:val="center"/>
              <w:rPr>
                <w:szCs w:val="26"/>
              </w:rPr>
            </w:pPr>
          </w:p>
        </w:tc>
        <w:tc>
          <w:tcPr>
            <w:tcW w:w="1116"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trPr>
        <w:tc>
          <w:tcPr>
            <w:tcW w:w="124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GTCN</w:t>
            </w: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0,173</w:t>
            </w:r>
          </w:p>
        </w:tc>
        <w:tc>
          <w:tcPr>
            <w:tcW w:w="1417" w:type="dxa"/>
            <w:tcBorders>
              <w:bottom w:val="single" w:sz="4" w:space="0" w:color="000000"/>
              <w:right w:val="single" w:sz="4" w:space="0" w:color="000000"/>
            </w:tcBorders>
            <w:vAlign w:val="bottom"/>
          </w:tcPr>
          <w:p w:rsidR="00764EB5" w:rsidRDefault="00764EB5" w:rsidP="003D6B28">
            <w:pPr>
              <w:jc w:val="center"/>
              <w:rPr>
                <w:szCs w:val="26"/>
              </w:rPr>
            </w:pP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334" w:type="dxa"/>
            <w:tcBorders>
              <w:bottom w:val="single" w:sz="4" w:space="0" w:color="000000"/>
              <w:right w:val="single" w:sz="4" w:space="0" w:color="000000"/>
            </w:tcBorders>
            <w:vAlign w:val="bottom"/>
          </w:tcPr>
          <w:p w:rsidR="00764EB5" w:rsidRDefault="00764EB5" w:rsidP="003D6B28">
            <w:pPr>
              <w:jc w:val="center"/>
              <w:rPr>
                <w:szCs w:val="26"/>
              </w:rPr>
            </w:pPr>
          </w:p>
        </w:tc>
        <w:tc>
          <w:tcPr>
            <w:tcW w:w="1116" w:type="dxa"/>
            <w:tcBorders>
              <w:bottom w:val="single" w:sz="4" w:space="0" w:color="000000"/>
              <w:right w:val="single" w:sz="4" w:space="0" w:color="000000"/>
            </w:tcBorders>
            <w:vAlign w:val="bottom"/>
          </w:tcPr>
          <w:p w:rsidR="00764EB5" w:rsidRDefault="00764EB5" w:rsidP="003D6B28">
            <w:pPr>
              <w:jc w:val="center"/>
              <w:rPr>
                <w:szCs w:val="26"/>
              </w:rPr>
            </w:pPr>
          </w:p>
        </w:tc>
        <w:tc>
          <w:tcPr>
            <w:tcW w:w="1116"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trPr>
        <w:tc>
          <w:tcPr>
            <w:tcW w:w="124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NTHV</w:t>
            </w: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0,172</w:t>
            </w:r>
          </w:p>
        </w:tc>
        <w:tc>
          <w:tcPr>
            <w:tcW w:w="1417" w:type="dxa"/>
            <w:tcBorders>
              <w:bottom w:val="single" w:sz="4" w:space="0" w:color="000000"/>
              <w:right w:val="single" w:sz="4" w:space="0" w:color="000000"/>
            </w:tcBorders>
            <w:vAlign w:val="bottom"/>
          </w:tcPr>
          <w:p w:rsidR="00764EB5" w:rsidRDefault="00DF13CC" w:rsidP="003D6B28">
            <w:pPr>
              <w:jc w:val="center"/>
              <w:rPr>
                <w:szCs w:val="26"/>
              </w:rPr>
            </w:pPr>
            <w:r>
              <w:rPr>
                <w:szCs w:val="26"/>
              </w:rPr>
              <w:t>0,486</w:t>
            </w:r>
          </w:p>
        </w:tc>
        <w:tc>
          <w:tcPr>
            <w:tcW w:w="1418" w:type="dxa"/>
            <w:tcBorders>
              <w:bottom w:val="single" w:sz="4" w:space="0" w:color="000000"/>
              <w:right w:val="single" w:sz="4" w:space="0" w:color="000000"/>
            </w:tcBorders>
            <w:vAlign w:val="bottom"/>
          </w:tcPr>
          <w:p w:rsidR="00764EB5" w:rsidRDefault="00764EB5" w:rsidP="003D6B28">
            <w:pPr>
              <w:jc w:val="center"/>
              <w:rPr>
                <w:szCs w:val="26"/>
              </w:rPr>
            </w:pPr>
          </w:p>
        </w:tc>
        <w:tc>
          <w:tcPr>
            <w:tcW w:w="1334" w:type="dxa"/>
            <w:tcBorders>
              <w:bottom w:val="single" w:sz="4" w:space="0" w:color="000000"/>
              <w:right w:val="single" w:sz="4" w:space="0" w:color="000000"/>
            </w:tcBorders>
            <w:vAlign w:val="bottom"/>
          </w:tcPr>
          <w:p w:rsidR="00764EB5" w:rsidRDefault="00764EB5" w:rsidP="003D6B28">
            <w:pPr>
              <w:jc w:val="center"/>
              <w:rPr>
                <w:szCs w:val="26"/>
              </w:rPr>
            </w:pPr>
          </w:p>
        </w:tc>
        <w:tc>
          <w:tcPr>
            <w:tcW w:w="1116" w:type="dxa"/>
            <w:tcBorders>
              <w:bottom w:val="single" w:sz="4" w:space="0" w:color="000000"/>
              <w:right w:val="single" w:sz="4" w:space="0" w:color="000000"/>
            </w:tcBorders>
            <w:vAlign w:val="bottom"/>
          </w:tcPr>
          <w:p w:rsidR="00764EB5" w:rsidRDefault="00764EB5" w:rsidP="003D6B28">
            <w:pPr>
              <w:jc w:val="center"/>
              <w:rPr>
                <w:szCs w:val="26"/>
              </w:rPr>
            </w:pPr>
          </w:p>
        </w:tc>
        <w:tc>
          <w:tcPr>
            <w:tcW w:w="1116"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trPr>
        <w:tc>
          <w:tcPr>
            <w:tcW w:w="124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QDM</w:t>
            </w: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0,598</w:t>
            </w:r>
          </w:p>
        </w:tc>
        <w:tc>
          <w:tcPr>
            <w:tcW w:w="1417" w:type="dxa"/>
            <w:tcBorders>
              <w:bottom w:val="single" w:sz="4" w:space="0" w:color="000000"/>
              <w:right w:val="single" w:sz="4" w:space="0" w:color="000000"/>
            </w:tcBorders>
            <w:vAlign w:val="bottom"/>
          </w:tcPr>
          <w:p w:rsidR="00764EB5" w:rsidRDefault="00DF13CC" w:rsidP="003D6B28">
            <w:pPr>
              <w:jc w:val="center"/>
              <w:rPr>
                <w:szCs w:val="26"/>
              </w:rPr>
            </w:pPr>
            <w:r>
              <w:rPr>
                <w:szCs w:val="26"/>
              </w:rPr>
              <w:t>0,261</w:t>
            </w: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0,175</w:t>
            </w:r>
          </w:p>
        </w:tc>
        <w:tc>
          <w:tcPr>
            <w:tcW w:w="1334" w:type="dxa"/>
            <w:tcBorders>
              <w:bottom w:val="single" w:sz="4" w:space="0" w:color="000000"/>
              <w:right w:val="single" w:sz="4" w:space="0" w:color="000000"/>
            </w:tcBorders>
            <w:vAlign w:val="bottom"/>
          </w:tcPr>
          <w:p w:rsidR="00764EB5" w:rsidRDefault="00764EB5" w:rsidP="003D6B28">
            <w:pPr>
              <w:jc w:val="center"/>
              <w:rPr>
                <w:szCs w:val="26"/>
              </w:rPr>
            </w:pPr>
          </w:p>
        </w:tc>
        <w:tc>
          <w:tcPr>
            <w:tcW w:w="1116" w:type="dxa"/>
            <w:tcBorders>
              <w:bottom w:val="single" w:sz="4" w:space="0" w:color="000000"/>
              <w:right w:val="single" w:sz="4" w:space="0" w:color="000000"/>
            </w:tcBorders>
            <w:vAlign w:val="bottom"/>
          </w:tcPr>
          <w:p w:rsidR="00764EB5" w:rsidRDefault="00764EB5" w:rsidP="003D6B28">
            <w:pPr>
              <w:jc w:val="center"/>
              <w:rPr>
                <w:szCs w:val="26"/>
              </w:rPr>
            </w:pPr>
          </w:p>
        </w:tc>
        <w:tc>
          <w:tcPr>
            <w:tcW w:w="1116"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trPr>
        <w:tc>
          <w:tcPr>
            <w:tcW w:w="124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TD</w:t>
            </w: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0,264</w:t>
            </w:r>
          </w:p>
        </w:tc>
        <w:tc>
          <w:tcPr>
            <w:tcW w:w="1417" w:type="dxa"/>
            <w:tcBorders>
              <w:bottom w:val="single" w:sz="4" w:space="0" w:color="000000"/>
              <w:right w:val="single" w:sz="4" w:space="0" w:color="000000"/>
            </w:tcBorders>
            <w:vAlign w:val="bottom"/>
          </w:tcPr>
          <w:p w:rsidR="00764EB5" w:rsidRDefault="00DF13CC" w:rsidP="003D6B28">
            <w:pPr>
              <w:jc w:val="center"/>
              <w:rPr>
                <w:szCs w:val="26"/>
              </w:rPr>
            </w:pPr>
            <w:r>
              <w:rPr>
                <w:szCs w:val="26"/>
              </w:rPr>
              <w:t>0,287</w:t>
            </w: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0,262</w:t>
            </w:r>
          </w:p>
        </w:tc>
        <w:tc>
          <w:tcPr>
            <w:tcW w:w="1334" w:type="dxa"/>
            <w:tcBorders>
              <w:bottom w:val="single" w:sz="4" w:space="0" w:color="000000"/>
              <w:right w:val="single" w:sz="4" w:space="0" w:color="000000"/>
            </w:tcBorders>
            <w:vAlign w:val="bottom"/>
          </w:tcPr>
          <w:p w:rsidR="00764EB5" w:rsidRDefault="00DF13CC" w:rsidP="003D6B28">
            <w:pPr>
              <w:ind w:firstLine="0"/>
              <w:jc w:val="right"/>
              <w:rPr>
                <w:szCs w:val="26"/>
              </w:rPr>
            </w:pPr>
            <w:r>
              <w:rPr>
                <w:szCs w:val="26"/>
              </w:rPr>
              <w:t>0,414</w:t>
            </w:r>
          </w:p>
        </w:tc>
        <w:tc>
          <w:tcPr>
            <w:tcW w:w="1116" w:type="dxa"/>
            <w:tcBorders>
              <w:bottom w:val="single" w:sz="4" w:space="0" w:color="000000"/>
              <w:right w:val="single" w:sz="4" w:space="0" w:color="000000"/>
            </w:tcBorders>
            <w:vAlign w:val="bottom"/>
          </w:tcPr>
          <w:p w:rsidR="00764EB5" w:rsidRDefault="00764EB5" w:rsidP="003D6B28">
            <w:pPr>
              <w:jc w:val="center"/>
              <w:rPr>
                <w:szCs w:val="26"/>
              </w:rPr>
            </w:pPr>
          </w:p>
        </w:tc>
        <w:tc>
          <w:tcPr>
            <w:tcW w:w="1116" w:type="dxa"/>
            <w:tcBorders>
              <w:bottom w:val="single" w:sz="4" w:space="0" w:color="000000"/>
              <w:right w:val="single" w:sz="4" w:space="0" w:color="000000"/>
            </w:tcBorders>
            <w:vAlign w:val="bottom"/>
          </w:tcPr>
          <w:p w:rsidR="00764EB5" w:rsidRDefault="00764EB5" w:rsidP="003D6B28">
            <w:pPr>
              <w:jc w:val="center"/>
              <w:rPr>
                <w:szCs w:val="26"/>
              </w:rPr>
            </w:pPr>
          </w:p>
        </w:tc>
      </w:tr>
      <w:tr w:rsidR="00764EB5">
        <w:trPr>
          <w:trHeight w:val="290"/>
        </w:trPr>
        <w:tc>
          <w:tcPr>
            <w:tcW w:w="1242" w:type="dxa"/>
            <w:tcBorders>
              <w:left w:val="single" w:sz="4" w:space="0" w:color="000000"/>
              <w:bottom w:val="single" w:sz="4" w:space="0" w:color="000000"/>
              <w:right w:val="single" w:sz="4" w:space="0" w:color="000000"/>
            </w:tcBorders>
            <w:vAlign w:val="bottom"/>
          </w:tcPr>
          <w:p w:rsidR="00764EB5" w:rsidRDefault="00DF13CC" w:rsidP="003D6B28">
            <w:pPr>
              <w:ind w:firstLine="0"/>
              <w:rPr>
                <w:szCs w:val="26"/>
              </w:rPr>
            </w:pPr>
            <w:r>
              <w:rPr>
                <w:szCs w:val="26"/>
              </w:rPr>
              <w:t>YDM</w:t>
            </w: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0,485</w:t>
            </w:r>
          </w:p>
        </w:tc>
        <w:tc>
          <w:tcPr>
            <w:tcW w:w="1417" w:type="dxa"/>
            <w:tcBorders>
              <w:bottom w:val="single" w:sz="4" w:space="0" w:color="000000"/>
              <w:right w:val="single" w:sz="4" w:space="0" w:color="000000"/>
            </w:tcBorders>
            <w:vAlign w:val="bottom"/>
          </w:tcPr>
          <w:p w:rsidR="00764EB5" w:rsidRDefault="00DF13CC" w:rsidP="003D6B28">
            <w:pPr>
              <w:jc w:val="center"/>
              <w:rPr>
                <w:szCs w:val="26"/>
              </w:rPr>
            </w:pPr>
            <w:r>
              <w:rPr>
                <w:szCs w:val="26"/>
              </w:rPr>
              <w:t>0,545</w:t>
            </w:r>
          </w:p>
        </w:tc>
        <w:tc>
          <w:tcPr>
            <w:tcW w:w="1418" w:type="dxa"/>
            <w:tcBorders>
              <w:bottom w:val="single" w:sz="4" w:space="0" w:color="000000"/>
              <w:right w:val="single" w:sz="4" w:space="0" w:color="000000"/>
            </w:tcBorders>
            <w:vAlign w:val="bottom"/>
          </w:tcPr>
          <w:p w:rsidR="00764EB5" w:rsidRDefault="00DF13CC" w:rsidP="003D6B28">
            <w:pPr>
              <w:jc w:val="center"/>
              <w:rPr>
                <w:szCs w:val="26"/>
              </w:rPr>
            </w:pPr>
            <w:r>
              <w:rPr>
                <w:szCs w:val="26"/>
              </w:rPr>
              <w:t>0,431</w:t>
            </w:r>
          </w:p>
        </w:tc>
        <w:tc>
          <w:tcPr>
            <w:tcW w:w="1334" w:type="dxa"/>
            <w:tcBorders>
              <w:bottom w:val="single" w:sz="4" w:space="0" w:color="000000"/>
              <w:right w:val="single" w:sz="4" w:space="0" w:color="000000"/>
            </w:tcBorders>
            <w:vAlign w:val="bottom"/>
          </w:tcPr>
          <w:p w:rsidR="00764EB5" w:rsidRDefault="00DF13CC" w:rsidP="003D6B28">
            <w:pPr>
              <w:ind w:firstLine="0"/>
              <w:jc w:val="right"/>
              <w:rPr>
                <w:szCs w:val="26"/>
              </w:rPr>
            </w:pPr>
            <w:r>
              <w:rPr>
                <w:szCs w:val="26"/>
              </w:rPr>
              <w:t>0,656</w:t>
            </w:r>
          </w:p>
        </w:tc>
        <w:tc>
          <w:tcPr>
            <w:tcW w:w="1116" w:type="dxa"/>
            <w:tcBorders>
              <w:bottom w:val="single" w:sz="4" w:space="0" w:color="000000"/>
              <w:right w:val="single" w:sz="4" w:space="0" w:color="000000"/>
            </w:tcBorders>
            <w:vAlign w:val="bottom"/>
          </w:tcPr>
          <w:p w:rsidR="00764EB5" w:rsidRDefault="00DF13CC" w:rsidP="003D6B28">
            <w:pPr>
              <w:ind w:firstLine="0"/>
              <w:jc w:val="right"/>
              <w:rPr>
                <w:szCs w:val="26"/>
              </w:rPr>
            </w:pPr>
            <w:r>
              <w:rPr>
                <w:szCs w:val="26"/>
              </w:rPr>
              <w:t>0,518</w:t>
            </w:r>
          </w:p>
        </w:tc>
        <w:tc>
          <w:tcPr>
            <w:tcW w:w="1116" w:type="dxa"/>
            <w:tcBorders>
              <w:bottom w:val="single" w:sz="4" w:space="0" w:color="000000"/>
              <w:right w:val="single" w:sz="4" w:space="0" w:color="000000"/>
            </w:tcBorders>
            <w:vAlign w:val="bottom"/>
          </w:tcPr>
          <w:p w:rsidR="00764EB5" w:rsidRDefault="00764EB5" w:rsidP="003D6B28">
            <w:pPr>
              <w:jc w:val="center"/>
              <w:rPr>
                <w:szCs w:val="26"/>
              </w:rPr>
            </w:pPr>
          </w:p>
        </w:tc>
      </w:tr>
    </w:tbl>
    <w:p w:rsidR="00764EB5" w:rsidRDefault="00DF13CC" w:rsidP="003D6B28">
      <w:pPr>
        <w:jc w:val="right"/>
        <w:rPr>
          <w:i/>
          <w:iCs/>
          <w:color w:val="auto"/>
        </w:rPr>
      </w:pPr>
      <w:r>
        <w:rPr>
          <w:i/>
          <w:iCs/>
          <w:color w:val="auto"/>
        </w:rPr>
        <w:lastRenderedPageBreak/>
        <w:t>(Nguồn: Kết quả phân tích bằng phần mềm SmartPLS)</w:t>
      </w:r>
    </w:p>
    <w:p w:rsidR="00764EB5" w:rsidRDefault="00DF13CC" w:rsidP="003D6B28">
      <w:pPr>
        <w:rPr>
          <w:color w:val="auto"/>
        </w:rPr>
      </w:pPr>
      <w:r>
        <w:rPr>
          <w:color w:val="auto"/>
        </w:rPr>
        <w:t>Kết quả tại Bảng 4.5 cho thấy tất cả các cặp cấu trúc đều có giá trị nhỏ hơn 0,85, đáp ứng tiêu chuẩn phân biệt được sử dụng trong nghiên cứu (Henseler et al., 2015). Giá trị HTMT cao đáng chú ý nhất là giữa YDM và QDM, đạt 0,656, nhưng vẫn thấp hơn tương đối rõ so với ngưỡng 0,85.</w:t>
      </w:r>
    </w:p>
    <w:p w:rsidR="00764EB5" w:rsidRDefault="00DF13CC" w:rsidP="003D6B28">
      <w:pPr>
        <w:rPr>
          <w:color w:val="auto"/>
        </w:rPr>
      </w:pPr>
      <w:r>
        <w:rPr>
          <w:color w:val="auto"/>
        </w:rPr>
        <w:t>Mức HTMT tương đối cao giữa YDM và QDM là hợp lý về mặt lý thuyết. Hai cấu trúc không được kỳ vọng hoàn toàn độc lập, bởi Ý định mua là tiền đề gần của mức độ sẵn sàng ra quyết định mua. Điều cần chứng minh không phải chúng không có quan hệ, mà là chúng có quan hệ nhưng vẫn đo lường hai trạng thái khác nhau.</w:t>
      </w:r>
    </w:p>
    <w:p w:rsidR="00764EB5" w:rsidRDefault="00DF13CC" w:rsidP="003D6B28">
      <w:pPr>
        <w:rPr>
          <w:color w:val="auto"/>
          <w:spacing w:val="-8"/>
        </w:rPr>
      </w:pPr>
      <w:r>
        <w:rPr>
          <w:color w:val="auto"/>
        </w:rPr>
        <w:t>Việc HTMT giữa hai biến bằng 0,656 cho thấy có sự liên hệ đáng kể nhưng chưa đến mức làm mất giá trị phân biệt. Kết quả này góp phần củng cố quyết định lý thuyết của luận án khi tách Ý định mua ra khỏi QDM thay vì sử dụng hai thuật ngữ như cùng một khái niệm.</w:t>
      </w:r>
    </w:p>
    <w:p w:rsidR="006575F3" w:rsidRDefault="006575F3">
      <w:pPr>
        <w:suppressAutoHyphens w:val="0"/>
        <w:spacing w:line="240" w:lineRule="auto"/>
        <w:ind w:firstLine="0"/>
        <w:jc w:val="left"/>
        <w:rPr>
          <w:b/>
          <w:bCs/>
          <w:i/>
        </w:rPr>
      </w:pPr>
      <w:bookmarkStart w:id="491" w:name="__RefHeading___Toc7801_1147916741"/>
      <w:bookmarkStart w:id="492" w:name="_Toc226534668"/>
      <w:bookmarkStart w:id="493" w:name="_Toc238482028"/>
      <w:bookmarkEnd w:id="491"/>
      <w:bookmarkEnd w:id="492"/>
      <w:r>
        <w:br w:type="page"/>
      </w:r>
    </w:p>
    <w:p w:rsidR="00764EB5" w:rsidRDefault="00DF13CC" w:rsidP="006575F3">
      <w:pPr>
        <w:pStyle w:val="DMB"/>
        <w:outlineLvl w:val="0"/>
        <w:rPr>
          <w:i w:val="0"/>
        </w:rPr>
      </w:pPr>
      <w:bookmarkStart w:id="494" w:name="_Toc241064408"/>
      <w:bookmarkStart w:id="495" w:name="_Toc241065559"/>
      <w:r>
        <w:lastRenderedPageBreak/>
        <w:t>Bảng 4.6. Giá trị phân biệt theo tiêu chuẩn Fornell-Larcker</w:t>
      </w:r>
      <w:bookmarkEnd w:id="493"/>
      <w:bookmarkEnd w:id="494"/>
      <w:bookmarkEnd w:id="495"/>
    </w:p>
    <w:tbl>
      <w:tblPr>
        <w:tblW w:w="5000" w:type="pct"/>
        <w:tblLayout w:type="fixed"/>
        <w:tblLook w:val="04A0" w:firstRow="1" w:lastRow="0" w:firstColumn="1" w:lastColumn="0" w:noHBand="0" w:noVBand="1"/>
      </w:tblPr>
      <w:tblGrid>
        <w:gridCol w:w="1852"/>
        <w:gridCol w:w="1289"/>
        <w:gridCol w:w="1208"/>
        <w:gridCol w:w="1236"/>
        <w:gridCol w:w="1200"/>
        <w:gridCol w:w="1109"/>
        <w:gridCol w:w="1109"/>
      </w:tblGrid>
      <w:tr w:rsidR="00764EB5">
        <w:trPr>
          <w:trHeight w:val="290"/>
        </w:trPr>
        <w:tc>
          <w:tcPr>
            <w:tcW w:w="1820" w:type="dxa"/>
            <w:vAlign w:val="bottom"/>
          </w:tcPr>
          <w:p w:rsidR="00764EB5" w:rsidRDefault="00764EB5" w:rsidP="002124B8">
            <w:pPr>
              <w:spacing w:line="312" w:lineRule="auto"/>
              <w:ind w:firstLine="0"/>
              <w:jc w:val="left"/>
              <w:rPr>
                <w:color w:val="auto"/>
                <w:sz w:val="24"/>
                <w:szCs w:val="20"/>
              </w:rPr>
            </w:pPr>
          </w:p>
        </w:tc>
        <w:tc>
          <w:tcPr>
            <w:tcW w:w="1266" w:type="dxa"/>
            <w:tcBorders>
              <w:top w:val="single" w:sz="4" w:space="0" w:color="000000"/>
              <w:left w:val="single" w:sz="4" w:space="0" w:color="000000"/>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CCQ</w:t>
            </w:r>
          </w:p>
        </w:tc>
        <w:tc>
          <w:tcPr>
            <w:tcW w:w="1187" w:type="dxa"/>
            <w:tcBorders>
              <w:top w:val="single" w:sz="4" w:space="0" w:color="000000"/>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GTCN</w:t>
            </w:r>
          </w:p>
        </w:tc>
        <w:tc>
          <w:tcPr>
            <w:tcW w:w="1214" w:type="dxa"/>
            <w:tcBorders>
              <w:top w:val="single" w:sz="4" w:space="0" w:color="000000"/>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NTHV</w:t>
            </w:r>
          </w:p>
        </w:tc>
        <w:tc>
          <w:tcPr>
            <w:tcW w:w="1179" w:type="dxa"/>
            <w:tcBorders>
              <w:top w:val="single" w:sz="4" w:space="0" w:color="000000"/>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QDM</w:t>
            </w:r>
          </w:p>
        </w:tc>
        <w:tc>
          <w:tcPr>
            <w:tcW w:w="1089" w:type="dxa"/>
            <w:tcBorders>
              <w:top w:val="single" w:sz="4" w:space="0" w:color="000000"/>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TD</w:t>
            </w:r>
          </w:p>
        </w:tc>
        <w:tc>
          <w:tcPr>
            <w:tcW w:w="1089" w:type="dxa"/>
            <w:tcBorders>
              <w:top w:val="single" w:sz="4" w:space="0" w:color="000000"/>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YDM</w:t>
            </w:r>
          </w:p>
        </w:tc>
      </w:tr>
      <w:tr w:rsidR="00764EB5">
        <w:trPr>
          <w:trHeight w:val="290"/>
        </w:trPr>
        <w:tc>
          <w:tcPr>
            <w:tcW w:w="1820" w:type="dxa"/>
            <w:tcBorders>
              <w:top w:val="single" w:sz="4" w:space="0" w:color="000000"/>
              <w:left w:val="single" w:sz="4" w:space="0" w:color="000000"/>
              <w:bottom w:val="single" w:sz="4" w:space="0" w:color="000000"/>
              <w:right w:val="single" w:sz="4" w:space="0" w:color="000000"/>
            </w:tcBorders>
            <w:vAlign w:val="bottom"/>
          </w:tcPr>
          <w:p w:rsidR="00764EB5" w:rsidRDefault="00DF13CC" w:rsidP="002124B8">
            <w:pPr>
              <w:spacing w:line="312" w:lineRule="auto"/>
              <w:ind w:firstLine="0"/>
              <w:jc w:val="left"/>
              <w:rPr>
                <w:color w:val="auto"/>
                <w:sz w:val="24"/>
              </w:rPr>
            </w:pPr>
            <w:r>
              <w:rPr>
                <w:color w:val="auto"/>
                <w:sz w:val="24"/>
              </w:rPr>
              <w:t>CCQ</w:t>
            </w:r>
          </w:p>
        </w:tc>
        <w:tc>
          <w:tcPr>
            <w:tcW w:w="1266"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187"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214"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17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08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08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r>
      <w:tr w:rsidR="00764EB5">
        <w:trPr>
          <w:trHeight w:val="290"/>
        </w:trPr>
        <w:tc>
          <w:tcPr>
            <w:tcW w:w="1820" w:type="dxa"/>
            <w:tcBorders>
              <w:left w:val="single" w:sz="4" w:space="0" w:color="000000"/>
              <w:bottom w:val="single" w:sz="4" w:space="0" w:color="000000"/>
              <w:right w:val="single" w:sz="4" w:space="0" w:color="000000"/>
            </w:tcBorders>
            <w:vAlign w:val="bottom"/>
          </w:tcPr>
          <w:p w:rsidR="00764EB5" w:rsidRDefault="00DF13CC" w:rsidP="002124B8">
            <w:pPr>
              <w:spacing w:line="312" w:lineRule="auto"/>
              <w:ind w:firstLine="0"/>
              <w:jc w:val="left"/>
              <w:rPr>
                <w:color w:val="auto"/>
                <w:sz w:val="24"/>
              </w:rPr>
            </w:pPr>
            <w:r>
              <w:rPr>
                <w:color w:val="auto"/>
                <w:sz w:val="24"/>
              </w:rPr>
              <w:t>GTCN</w:t>
            </w:r>
          </w:p>
        </w:tc>
        <w:tc>
          <w:tcPr>
            <w:tcW w:w="1266"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0.173</w:t>
            </w:r>
          </w:p>
        </w:tc>
        <w:tc>
          <w:tcPr>
            <w:tcW w:w="1187"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214"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17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08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08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r>
      <w:tr w:rsidR="00764EB5">
        <w:trPr>
          <w:trHeight w:val="290"/>
        </w:trPr>
        <w:tc>
          <w:tcPr>
            <w:tcW w:w="1820" w:type="dxa"/>
            <w:tcBorders>
              <w:left w:val="single" w:sz="4" w:space="0" w:color="000000"/>
              <w:bottom w:val="single" w:sz="4" w:space="0" w:color="000000"/>
              <w:right w:val="single" w:sz="4" w:space="0" w:color="000000"/>
            </w:tcBorders>
            <w:vAlign w:val="bottom"/>
          </w:tcPr>
          <w:p w:rsidR="00764EB5" w:rsidRDefault="00DF13CC" w:rsidP="002124B8">
            <w:pPr>
              <w:spacing w:line="312" w:lineRule="auto"/>
              <w:ind w:firstLine="0"/>
              <w:jc w:val="left"/>
              <w:rPr>
                <w:color w:val="auto"/>
                <w:sz w:val="24"/>
              </w:rPr>
            </w:pPr>
            <w:r>
              <w:rPr>
                <w:color w:val="auto"/>
                <w:sz w:val="24"/>
              </w:rPr>
              <w:t>NTHV</w:t>
            </w:r>
          </w:p>
        </w:tc>
        <w:tc>
          <w:tcPr>
            <w:tcW w:w="1266"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0.172</w:t>
            </w:r>
          </w:p>
        </w:tc>
        <w:tc>
          <w:tcPr>
            <w:tcW w:w="1187"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0.486</w:t>
            </w:r>
          </w:p>
        </w:tc>
        <w:tc>
          <w:tcPr>
            <w:tcW w:w="1214"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17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08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08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r>
      <w:tr w:rsidR="00764EB5">
        <w:trPr>
          <w:trHeight w:val="290"/>
        </w:trPr>
        <w:tc>
          <w:tcPr>
            <w:tcW w:w="1820" w:type="dxa"/>
            <w:tcBorders>
              <w:left w:val="single" w:sz="4" w:space="0" w:color="000000"/>
              <w:bottom w:val="single" w:sz="4" w:space="0" w:color="000000"/>
              <w:right w:val="single" w:sz="4" w:space="0" w:color="000000"/>
            </w:tcBorders>
            <w:vAlign w:val="bottom"/>
          </w:tcPr>
          <w:p w:rsidR="00764EB5" w:rsidRDefault="00DF13CC" w:rsidP="002124B8">
            <w:pPr>
              <w:spacing w:line="312" w:lineRule="auto"/>
              <w:ind w:firstLine="0"/>
              <w:jc w:val="left"/>
              <w:rPr>
                <w:color w:val="auto"/>
                <w:sz w:val="24"/>
              </w:rPr>
            </w:pPr>
            <w:r>
              <w:rPr>
                <w:color w:val="auto"/>
                <w:sz w:val="24"/>
              </w:rPr>
              <w:t>QDM</w:t>
            </w:r>
          </w:p>
        </w:tc>
        <w:tc>
          <w:tcPr>
            <w:tcW w:w="1266"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0.598</w:t>
            </w:r>
          </w:p>
        </w:tc>
        <w:tc>
          <w:tcPr>
            <w:tcW w:w="1187"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0.261</w:t>
            </w:r>
          </w:p>
        </w:tc>
        <w:tc>
          <w:tcPr>
            <w:tcW w:w="1214"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0.175</w:t>
            </w:r>
          </w:p>
        </w:tc>
        <w:tc>
          <w:tcPr>
            <w:tcW w:w="117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08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08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r>
      <w:tr w:rsidR="00764EB5">
        <w:trPr>
          <w:trHeight w:val="290"/>
        </w:trPr>
        <w:tc>
          <w:tcPr>
            <w:tcW w:w="1820" w:type="dxa"/>
            <w:tcBorders>
              <w:left w:val="single" w:sz="4" w:space="0" w:color="000000"/>
              <w:bottom w:val="single" w:sz="4" w:space="0" w:color="000000"/>
              <w:right w:val="single" w:sz="4" w:space="0" w:color="000000"/>
            </w:tcBorders>
            <w:vAlign w:val="bottom"/>
          </w:tcPr>
          <w:p w:rsidR="00764EB5" w:rsidRDefault="00DF13CC" w:rsidP="002124B8">
            <w:pPr>
              <w:spacing w:line="312" w:lineRule="auto"/>
              <w:ind w:firstLine="0"/>
              <w:jc w:val="left"/>
              <w:rPr>
                <w:color w:val="auto"/>
                <w:sz w:val="24"/>
              </w:rPr>
            </w:pPr>
            <w:r>
              <w:rPr>
                <w:color w:val="auto"/>
                <w:sz w:val="24"/>
              </w:rPr>
              <w:t>TD</w:t>
            </w:r>
          </w:p>
        </w:tc>
        <w:tc>
          <w:tcPr>
            <w:tcW w:w="1266"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0.264</w:t>
            </w:r>
          </w:p>
        </w:tc>
        <w:tc>
          <w:tcPr>
            <w:tcW w:w="1187"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0.287</w:t>
            </w:r>
          </w:p>
        </w:tc>
        <w:tc>
          <w:tcPr>
            <w:tcW w:w="1214"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0.262</w:t>
            </w:r>
          </w:p>
        </w:tc>
        <w:tc>
          <w:tcPr>
            <w:tcW w:w="1179"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0.414</w:t>
            </w:r>
          </w:p>
        </w:tc>
        <w:tc>
          <w:tcPr>
            <w:tcW w:w="108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c>
          <w:tcPr>
            <w:tcW w:w="108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r>
      <w:tr w:rsidR="00764EB5">
        <w:trPr>
          <w:trHeight w:val="290"/>
        </w:trPr>
        <w:tc>
          <w:tcPr>
            <w:tcW w:w="1820" w:type="dxa"/>
            <w:tcBorders>
              <w:left w:val="single" w:sz="4" w:space="0" w:color="000000"/>
              <w:bottom w:val="single" w:sz="4" w:space="0" w:color="000000"/>
              <w:right w:val="single" w:sz="4" w:space="0" w:color="000000"/>
            </w:tcBorders>
            <w:vAlign w:val="bottom"/>
          </w:tcPr>
          <w:p w:rsidR="00764EB5" w:rsidRDefault="00DF13CC" w:rsidP="002124B8">
            <w:pPr>
              <w:spacing w:line="312" w:lineRule="auto"/>
              <w:ind w:firstLine="0"/>
              <w:jc w:val="left"/>
              <w:rPr>
                <w:color w:val="auto"/>
                <w:sz w:val="24"/>
              </w:rPr>
            </w:pPr>
            <w:r>
              <w:rPr>
                <w:color w:val="auto"/>
                <w:sz w:val="24"/>
              </w:rPr>
              <w:t>YDM</w:t>
            </w:r>
          </w:p>
        </w:tc>
        <w:tc>
          <w:tcPr>
            <w:tcW w:w="1266"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0.485</w:t>
            </w:r>
          </w:p>
        </w:tc>
        <w:tc>
          <w:tcPr>
            <w:tcW w:w="1187"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0.545</w:t>
            </w:r>
          </w:p>
        </w:tc>
        <w:tc>
          <w:tcPr>
            <w:tcW w:w="1214"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0.431</w:t>
            </w:r>
          </w:p>
        </w:tc>
        <w:tc>
          <w:tcPr>
            <w:tcW w:w="1179"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0.656</w:t>
            </w:r>
          </w:p>
        </w:tc>
        <w:tc>
          <w:tcPr>
            <w:tcW w:w="1089" w:type="dxa"/>
            <w:tcBorders>
              <w:bottom w:val="single" w:sz="4" w:space="0" w:color="000000"/>
              <w:right w:val="single" w:sz="4" w:space="0" w:color="000000"/>
            </w:tcBorders>
            <w:vAlign w:val="bottom"/>
          </w:tcPr>
          <w:p w:rsidR="00764EB5" w:rsidRDefault="00DF13CC" w:rsidP="002124B8">
            <w:pPr>
              <w:spacing w:line="312" w:lineRule="auto"/>
              <w:ind w:firstLine="0"/>
              <w:jc w:val="center"/>
              <w:rPr>
                <w:color w:val="auto"/>
                <w:sz w:val="24"/>
              </w:rPr>
            </w:pPr>
            <w:r>
              <w:rPr>
                <w:color w:val="auto"/>
                <w:sz w:val="24"/>
              </w:rPr>
              <w:t>0.518</w:t>
            </w:r>
          </w:p>
        </w:tc>
        <w:tc>
          <w:tcPr>
            <w:tcW w:w="1089" w:type="dxa"/>
            <w:tcBorders>
              <w:bottom w:val="single" w:sz="4" w:space="0" w:color="000000"/>
              <w:right w:val="single" w:sz="4" w:space="0" w:color="000000"/>
            </w:tcBorders>
            <w:vAlign w:val="bottom"/>
          </w:tcPr>
          <w:p w:rsidR="00764EB5" w:rsidRDefault="00764EB5" w:rsidP="002124B8">
            <w:pPr>
              <w:spacing w:line="312" w:lineRule="auto"/>
              <w:ind w:firstLine="0"/>
              <w:jc w:val="center"/>
              <w:rPr>
                <w:color w:val="auto"/>
                <w:sz w:val="24"/>
              </w:rPr>
            </w:pPr>
          </w:p>
        </w:tc>
      </w:tr>
    </w:tbl>
    <w:p w:rsidR="00764EB5" w:rsidRDefault="00DF13CC" w:rsidP="002124B8">
      <w:pPr>
        <w:spacing w:line="348" w:lineRule="auto"/>
        <w:jc w:val="right"/>
        <w:rPr>
          <w:i/>
          <w:iCs/>
          <w:color w:val="auto"/>
        </w:rPr>
      </w:pPr>
      <w:r>
        <w:rPr>
          <w:i/>
          <w:iCs/>
          <w:color w:val="auto"/>
        </w:rPr>
        <w:t>(Nguồn: Kết quả phân tích bằng phần mềm SmartPLS)</w:t>
      </w:r>
    </w:p>
    <w:p w:rsidR="00764EB5" w:rsidRDefault="00DF13CC" w:rsidP="002124B8">
      <w:pPr>
        <w:spacing w:line="348" w:lineRule="auto"/>
        <w:rPr>
          <w:color w:val="auto"/>
        </w:rPr>
      </w:pPr>
      <w:r>
        <w:rPr>
          <w:color w:val="auto"/>
        </w:rPr>
        <w:t>Bảng 4.6 trình bày kết quả kiểm định giá trị phân biệt của các biến tiềm ẩn trong mô hình nghiên cứu theo tiêu chuẩn Fornell–Larcker. Theo tiêu chuẩn này, giá trị căn bậc hai của phương sai trích trung bình (√AVE) của mỗi biến tiềm ẩn phải lớn hơn hệ số tương quan giữa biến đó với các biến tiềm ẩn khác trong mô hình (Fornell and Larcker, 1981).</w:t>
      </w:r>
    </w:p>
    <w:p w:rsidR="00764EB5" w:rsidRDefault="00DF13CC" w:rsidP="002124B8">
      <w:pPr>
        <w:spacing w:line="348" w:lineRule="auto"/>
        <w:rPr>
          <w:color w:val="auto"/>
          <w:spacing w:val="-4"/>
        </w:rPr>
      </w:pPr>
      <w:r>
        <w:rPr>
          <w:color w:val="auto"/>
        </w:rPr>
        <w:t>Kết quả phân tích cho thấy các biến tiềm ẩn trong nghiên cứu, bao gồm Thái độ (TD), Chuẩn chủ quan (CCQ), Nhận thức kiểm soát hành vi (NTHV), Giá trị cảm nhận căn hộ (GTCN), Ý định mua (YDM) và Mức độ sẵn sàng ra quyết định mua (QDM), thỏa mãn tiêu chuẩn Fornell–Larcker theo bảng kết quả. Cụ thể, giá trị căn bậc hai của AVE của từng biến lớn hơn các hệ số tương quan giữa biến đó với các biến còn lại (Fornell and Larcker, 1981).</w:t>
      </w:r>
    </w:p>
    <w:p w:rsidR="00764EB5" w:rsidRDefault="00DF13CC" w:rsidP="002124B8">
      <w:pPr>
        <w:spacing w:line="336" w:lineRule="auto"/>
        <w:rPr>
          <w:color w:val="auto"/>
        </w:rPr>
      </w:pPr>
      <w:r>
        <w:rPr>
          <w:color w:val="auto"/>
        </w:rPr>
        <w:t>Chẳng hạn, giá trị căn bậc hai AVE của GTCN lớn hơn các tương quan của GTCN với các cấu trúc còn lại; YDM cũng có giá trị căn bậc hai AVE lớn hơn các tương quan tương ứng. Theo tiêu chuẩn Fornell–Larcker, các so sánh này hỗ trợ giá trị phân biệt giữa các cấu trúc, nhưng không được diễn giải như bằng chứng về khả năng giải thích hay sức mạnh tác động của từng biến (Fornell and Larcker, 1981).</w:t>
      </w:r>
    </w:p>
    <w:p w:rsidR="00764EB5" w:rsidRDefault="00DF13CC" w:rsidP="002124B8">
      <w:pPr>
        <w:spacing w:line="336" w:lineRule="auto"/>
        <w:rPr>
          <w:color w:val="auto"/>
        </w:rPr>
      </w:pPr>
      <w:r>
        <w:rPr>
          <w:color w:val="auto"/>
        </w:rPr>
        <w:t>Đối với các biến thuộc nhóm yếu tố theo lý thuyết hành vi kế hoạch TPB như Thái độ (TD), Chuẩn chủ quan (CCQ) và Nhận thức kiểm soát hành vi (NTHV), kết quả cũng cho thấy các biến này có sự phân biệt rõ ràng, mặc dù tồn tại mối tương quan nhất định do cùng phản ánh các khía cạnh khác nhau của hành vi khách hàng.</w:t>
      </w:r>
    </w:p>
    <w:p w:rsidR="00764EB5" w:rsidRDefault="00DF13CC" w:rsidP="002124B8">
      <w:pPr>
        <w:spacing w:line="336" w:lineRule="auto"/>
        <w:rPr>
          <w:color w:val="auto"/>
        </w:rPr>
      </w:pPr>
      <w:r>
        <w:rPr>
          <w:color w:val="auto"/>
        </w:rPr>
        <w:t>Nhìn chung, kết quả Fornell–Larcker cùng với ma trận HTMT hỗ trợ giá trị phân biệt của các cấu trúc trong mô hình đo lường. Kết luận này được giới hạn ở các tiêu chí và số liệu đã báo cáo, không được hiểu là loại trừ tuyệt đối mọi khả năng chồng lấn về nội dung khái niệm.</w:t>
      </w:r>
    </w:p>
    <w:p w:rsidR="00764EB5" w:rsidRPr="002124B8" w:rsidRDefault="00DF13CC" w:rsidP="002124B8">
      <w:pPr>
        <w:spacing w:line="336" w:lineRule="auto"/>
        <w:rPr>
          <w:color w:val="auto"/>
          <w:spacing w:val="-4"/>
        </w:rPr>
      </w:pPr>
      <w:r w:rsidRPr="002124B8">
        <w:rPr>
          <w:color w:val="auto"/>
          <w:spacing w:val="-4"/>
        </w:rPr>
        <w:lastRenderedPageBreak/>
        <w:t>Kết quả này cũng phù hợp với kết quả kiểm định HTMT đã trình bày trước đó, qua đó củng cố thêm độ tin cậy và tính hợp lệ của mô hình đo lường trong nghiên cứu.</w:t>
      </w:r>
    </w:p>
    <w:p w:rsidR="00764EB5" w:rsidRPr="006575F3" w:rsidRDefault="00DF13CC" w:rsidP="007B644D">
      <w:pPr>
        <w:pStyle w:val="Heading2"/>
        <w:rPr>
          <w:b w:val="0"/>
          <w:i/>
        </w:rPr>
      </w:pPr>
      <w:bookmarkStart w:id="496" w:name="_Toc234224137"/>
      <w:bookmarkStart w:id="497" w:name="_Toc241062477"/>
      <w:bookmarkStart w:id="498" w:name="_Toc241064409"/>
      <w:bookmarkStart w:id="499" w:name="_Toc241065342"/>
      <w:bookmarkStart w:id="500" w:name="_Toc241065560"/>
      <w:r w:rsidRPr="006575F3">
        <w:rPr>
          <w:b w:val="0"/>
          <w:i/>
        </w:rPr>
        <w:t>4.2.2.4. Kiểm tra đa cộng tuyến (VIF)</w:t>
      </w:r>
      <w:bookmarkEnd w:id="496"/>
      <w:bookmarkEnd w:id="497"/>
      <w:bookmarkEnd w:id="498"/>
      <w:bookmarkEnd w:id="499"/>
      <w:bookmarkEnd w:id="500"/>
    </w:p>
    <w:p w:rsidR="00764EB5" w:rsidRDefault="00DF13CC" w:rsidP="002124B8">
      <w:pPr>
        <w:spacing w:line="336" w:lineRule="auto"/>
        <w:rPr>
          <w:color w:val="auto"/>
        </w:rPr>
      </w:pPr>
      <w:r>
        <w:rPr>
          <w:color w:val="auto"/>
        </w:rPr>
        <w:t>Sau khi mô hình đo lường được xác nhận đạt độ tin cậy và giá trị hợp lệ, nghiên cứu tiến hành kiểm tra hiện tượng đa cộng tuyến giữa các biến trong mô hình cấu trúc nhằm bảo đảm tính ổn định của các ước lượng.</w:t>
      </w:r>
    </w:p>
    <w:p w:rsidR="00764EB5" w:rsidRDefault="00DF13CC" w:rsidP="002124B8">
      <w:pPr>
        <w:spacing w:line="336" w:lineRule="auto"/>
        <w:rPr>
          <w:color w:val="auto"/>
        </w:rPr>
      </w:pPr>
      <w:r>
        <w:rPr>
          <w:color w:val="auto"/>
        </w:rPr>
        <w:t>Đa cộng tuyến xảy ra khi các biến độc lập có tương quan quá cao với nhau, có thể làm sai lệch hệ số ước lượng và ảnh hưởng đến độ chính xác của kết quả phân tích. Trong nghiên cứu này, hệ số VIF được sử dụng để đánh giá đa cộng tuyến.</w:t>
      </w:r>
    </w:p>
    <w:p w:rsidR="00764EB5" w:rsidRDefault="00DF13CC" w:rsidP="002124B8">
      <w:pPr>
        <w:spacing w:line="336" w:lineRule="auto"/>
        <w:rPr>
          <w:color w:val="auto"/>
        </w:rPr>
      </w:pPr>
      <w:r>
        <w:rPr>
          <w:color w:val="auto"/>
        </w:rPr>
        <w:t>Trong nghiên cứu này, đa cộng tuyến được đánh giá bằng Variance Inflation Factor (VIF) trên SmartPLS. Theo Hair et al. (2022), VIF được sử dụng để nhận diện mức độ cộng tuyến giữa các biến dự báo; các ngưỡng 3,3 và 5 thường được dùng như mức cảnh báo tham khảo tùy bối cảnh phân tích.</w:t>
      </w:r>
    </w:p>
    <w:p w:rsidR="00764EB5" w:rsidRDefault="00DF13CC" w:rsidP="006575F3">
      <w:pPr>
        <w:pStyle w:val="DMB"/>
        <w:outlineLvl w:val="0"/>
      </w:pPr>
      <w:bookmarkStart w:id="501" w:name="_Toc226534669"/>
      <w:bookmarkStart w:id="502" w:name="__RefHeading___Toc7799_1147916741"/>
      <w:bookmarkStart w:id="503" w:name="_Toc238482029"/>
      <w:bookmarkStart w:id="504" w:name="_Toc241064410"/>
      <w:bookmarkStart w:id="505" w:name="_Toc241065561"/>
      <w:bookmarkEnd w:id="501"/>
      <w:bookmarkEnd w:id="502"/>
      <w:r>
        <w:t>Bảng 4.7. Kiểm tra đa cộng tuyến (VIF)</w:t>
      </w:r>
      <w:bookmarkEnd w:id="503"/>
      <w:bookmarkEnd w:id="504"/>
      <w:bookmarkEnd w:id="505"/>
    </w:p>
    <w:tbl>
      <w:tblPr>
        <w:tblW w:w="4613" w:type="dxa"/>
        <w:jc w:val="center"/>
        <w:tblLayout w:type="fixed"/>
        <w:tblLook w:val="04A0" w:firstRow="1" w:lastRow="0" w:firstColumn="1" w:lastColumn="0" w:noHBand="0" w:noVBand="1"/>
      </w:tblPr>
      <w:tblGrid>
        <w:gridCol w:w="2950"/>
        <w:gridCol w:w="1663"/>
      </w:tblGrid>
      <w:tr w:rsidR="00764EB5">
        <w:trPr>
          <w:trHeight w:val="290"/>
          <w:jc w:val="center"/>
        </w:trPr>
        <w:tc>
          <w:tcPr>
            <w:tcW w:w="2950" w:type="dxa"/>
            <w:vAlign w:val="bottom"/>
          </w:tcPr>
          <w:p w:rsidR="00764EB5" w:rsidRDefault="00764EB5" w:rsidP="003D6B28">
            <w:pPr>
              <w:rPr>
                <w:szCs w:val="26"/>
              </w:rPr>
            </w:pPr>
          </w:p>
        </w:tc>
        <w:tc>
          <w:tcPr>
            <w:tcW w:w="1663"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jc w:val="center"/>
              <w:rPr>
                <w:szCs w:val="26"/>
              </w:rPr>
            </w:pPr>
            <w:r>
              <w:rPr>
                <w:szCs w:val="26"/>
              </w:rPr>
              <w:t>VIF</w:t>
            </w:r>
          </w:p>
        </w:tc>
      </w:tr>
      <w:tr w:rsidR="00764EB5">
        <w:trPr>
          <w:trHeight w:val="290"/>
          <w:jc w:val="center"/>
        </w:trPr>
        <w:tc>
          <w:tcPr>
            <w:tcW w:w="2950"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rPr>
                <w:szCs w:val="26"/>
              </w:rPr>
            </w:pPr>
            <w:r>
              <w:rPr>
                <w:szCs w:val="26"/>
              </w:rPr>
              <w:t>CCQ -&gt; YDM</w:t>
            </w:r>
          </w:p>
        </w:tc>
        <w:tc>
          <w:tcPr>
            <w:tcW w:w="1663" w:type="dxa"/>
            <w:tcBorders>
              <w:bottom w:val="single" w:sz="4" w:space="0" w:color="000000"/>
              <w:right w:val="single" w:sz="4" w:space="0" w:color="000000"/>
            </w:tcBorders>
            <w:vAlign w:val="bottom"/>
          </w:tcPr>
          <w:p w:rsidR="00764EB5" w:rsidRDefault="00DF13CC" w:rsidP="003D6B28">
            <w:pPr>
              <w:jc w:val="center"/>
              <w:rPr>
                <w:szCs w:val="26"/>
              </w:rPr>
            </w:pPr>
            <w:r>
              <w:rPr>
                <w:szCs w:val="26"/>
              </w:rPr>
              <w:t>1,077</w:t>
            </w:r>
          </w:p>
        </w:tc>
      </w:tr>
      <w:tr w:rsidR="00764EB5">
        <w:trPr>
          <w:trHeight w:val="290"/>
          <w:jc w:val="center"/>
        </w:trPr>
        <w:tc>
          <w:tcPr>
            <w:tcW w:w="2950" w:type="dxa"/>
            <w:tcBorders>
              <w:left w:val="single" w:sz="4" w:space="0" w:color="000000"/>
              <w:bottom w:val="single" w:sz="4" w:space="0" w:color="000000"/>
              <w:right w:val="single" w:sz="4" w:space="0" w:color="000000"/>
            </w:tcBorders>
            <w:vAlign w:val="bottom"/>
          </w:tcPr>
          <w:p w:rsidR="00764EB5" w:rsidRDefault="00DF13CC" w:rsidP="003D6B28">
            <w:pPr>
              <w:rPr>
                <w:szCs w:val="26"/>
              </w:rPr>
            </w:pPr>
            <w:r>
              <w:rPr>
                <w:szCs w:val="26"/>
              </w:rPr>
              <w:t>GTCN -&gt; YDM</w:t>
            </w:r>
          </w:p>
        </w:tc>
        <w:tc>
          <w:tcPr>
            <w:tcW w:w="1663" w:type="dxa"/>
            <w:tcBorders>
              <w:bottom w:val="single" w:sz="4" w:space="0" w:color="000000"/>
              <w:right w:val="single" w:sz="4" w:space="0" w:color="000000"/>
            </w:tcBorders>
            <w:vAlign w:val="bottom"/>
          </w:tcPr>
          <w:p w:rsidR="00764EB5" w:rsidRDefault="00DF13CC" w:rsidP="003D6B28">
            <w:pPr>
              <w:jc w:val="center"/>
              <w:rPr>
                <w:szCs w:val="26"/>
              </w:rPr>
            </w:pPr>
            <w:r>
              <w:rPr>
                <w:szCs w:val="26"/>
              </w:rPr>
              <w:t>1,254</w:t>
            </w:r>
          </w:p>
        </w:tc>
      </w:tr>
      <w:tr w:rsidR="00764EB5">
        <w:trPr>
          <w:trHeight w:val="290"/>
          <w:jc w:val="center"/>
        </w:trPr>
        <w:tc>
          <w:tcPr>
            <w:tcW w:w="2950" w:type="dxa"/>
            <w:tcBorders>
              <w:left w:val="single" w:sz="4" w:space="0" w:color="000000"/>
              <w:bottom w:val="single" w:sz="4" w:space="0" w:color="000000"/>
              <w:right w:val="single" w:sz="4" w:space="0" w:color="000000"/>
            </w:tcBorders>
            <w:vAlign w:val="bottom"/>
          </w:tcPr>
          <w:p w:rsidR="00764EB5" w:rsidRDefault="00DF13CC" w:rsidP="003D6B28">
            <w:pPr>
              <w:rPr>
                <w:szCs w:val="26"/>
              </w:rPr>
            </w:pPr>
            <w:r>
              <w:rPr>
                <w:szCs w:val="26"/>
              </w:rPr>
              <w:t>NTHV -&gt; YDM</w:t>
            </w:r>
          </w:p>
        </w:tc>
        <w:tc>
          <w:tcPr>
            <w:tcW w:w="1663" w:type="dxa"/>
            <w:tcBorders>
              <w:bottom w:val="single" w:sz="4" w:space="0" w:color="000000"/>
              <w:right w:val="single" w:sz="4" w:space="0" w:color="000000"/>
            </w:tcBorders>
            <w:vAlign w:val="bottom"/>
          </w:tcPr>
          <w:p w:rsidR="00764EB5" w:rsidRDefault="00DF13CC" w:rsidP="003D6B28">
            <w:pPr>
              <w:jc w:val="center"/>
              <w:rPr>
                <w:szCs w:val="26"/>
              </w:rPr>
            </w:pPr>
            <w:r>
              <w:rPr>
                <w:szCs w:val="26"/>
              </w:rPr>
              <w:t>1,239</w:t>
            </w:r>
          </w:p>
        </w:tc>
      </w:tr>
      <w:tr w:rsidR="00764EB5">
        <w:trPr>
          <w:trHeight w:val="290"/>
          <w:jc w:val="center"/>
        </w:trPr>
        <w:tc>
          <w:tcPr>
            <w:tcW w:w="2950" w:type="dxa"/>
            <w:tcBorders>
              <w:left w:val="single" w:sz="4" w:space="0" w:color="000000"/>
              <w:bottom w:val="single" w:sz="4" w:space="0" w:color="000000"/>
              <w:right w:val="single" w:sz="4" w:space="0" w:color="000000"/>
            </w:tcBorders>
            <w:vAlign w:val="bottom"/>
          </w:tcPr>
          <w:p w:rsidR="00764EB5" w:rsidRDefault="00DF13CC" w:rsidP="003D6B28">
            <w:pPr>
              <w:rPr>
                <w:szCs w:val="26"/>
              </w:rPr>
            </w:pPr>
            <w:r>
              <w:rPr>
                <w:szCs w:val="26"/>
              </w:rPr>
              <w:t>TD -&gt; YDM</w:t>
            </w:r>
          </w:p>
        </w:tc>
        <w:tc>
          <w:tcPr>
            <w:tcW w:w="1663" w:type="dxa"/>
            <w:tcBorders>
              <w:bottom w:val="single" w:sz="4" w:space="0" w:color="000000"/>
              <w:right w:val="single" w:sz="4" w:space="0" w:color="000000"/>
            </w:tcBorders>
            <w:vAlign w:val="bottom"/>
          </w:tcPr>
          <w:p w:rsidR="00764EB5" w:rsidRDefault="00DF13CC" w:rsidP="003D6B28">
            <w:pPr>
              <w:jc w:val="center"/>
              <w:rPr>
                <w:szCs w:val="26"/>
              </w:rPr>
            </w:pPr>
            <w:r>
              <w:rPr>
                <w:szCs w:val="26"/>
              </w:rPr>
              <w:t>1,140</w:t>
            </w:r>
          </w:p>
        </w:tc>
      </w:tr>
      <w:tr w:rsidR="00764EB5">
        <w:trPr>
          <w:trHeight w:val="442"/>
          <w:jc w:val="center"/>
        </w:trPr>
        <w:tc>
          <w:tcPr>
            <w:tcW w:w="2950" w:type="dxa"/>
            <w:tcBorders>
              <w:left w:val="single" w:sz="4" w:space="0" w:color="000000"/>
              <w:bottom w:val="single" w:sz="4" w:space="0" w:color="000000"/>
              <w:right w:val="single" w:sz="4" w:space="0" w:color="000000"/>
            </w:tcBorders>
            <w:vAlign w:val="bottom"/>
          </w:tcPr>
          <w:p w:rsidR="00764EB5" w:rsidRDefault="00DF13CC" w:rsidP="003D6B28">
            <w:pPr>
              <w:rPr>
                <w:szCs w:val="26"/>
              </w:rPr>
            </w:pPr>
            <w:r>
              <w:rPr>
                <w:szCs w:val="26"/>
              </w:rPr>
              <w:t>YDM -&gt; QDM</w:t>
            </w:r>
          </w:p>
        </w:tc>
        <w:tc>
          <w:tcPr>
            <w:tcW w:w="1663" w:type="dxa"/>
            <w:tcBorders>
              <w:bottom w:val="single" w:sz="4" w:space="0" w:color="000000"/>
              <w:right w:val="single" w:sz="4" w:space="0" w:color="000000"/>
            </w:tcBorders>
            <w:vAlign w:val="bottom"/>
          </w:tcPr>
          <w:p w:rsidR="00764EB5" w:rsidRDefault="00DF13CC" w:rsidP="003D6B28">
            <w:pPr>
              <w:jc w:val="center"/>
              <w:rPr>
                <w:szCs w:val="26"/>
              </w:rPr>
            </w:pPr>
            <w:r>
              <w:rPr>
                <w:szCs w:val="26"/>
              </w:rPr>
              <w:t>1,000</w:t>
            </w:r>
          </w:p>
        </w:tc>
      </w:tr>
    </w:tbl>
    <w:p w:rsidR="00764EB5" w:rsidRDefault="00DF13CC" w:rsidP="003D6B28">
      <w:pPr>
        <w:jc w:val="right"/>
        <w:rPr>
          <w:i/>
          <w:iCs/>
          <w:color w:val="auto"/>
        </w:rPr>
      </w:pPr>
      <w:r>
        <w:rPr>
          <w:i/>
          <w:iCs/>
          <w:color w:val="auto"/>
        </w:rPr>
        <w:t>(Nguồn: Kết quả phân tích bằng phần mềm SmartPLS)</w:t>
      </w:r>
    </w:p>
    <w:p w:rsidR="00764EB5" w:rsidRDefault="00DF13CC" w:rsidP="003D6B28">
      <w:pPr>
        <w:rPr>
          <w:color w:val="auto"/>
        </w:rPr>
      </w:pPr>
      <w:r>
        <w:rPr>
          <w:color w:val="auto"/>
        </w:rPr>
        <w:t>Kết quả tại Bảng 4.7 cho thấy VIF của các đường dự báo nằm trong khoảng 1,000–1,254, thấp hơn các ngưỡng cảnh báo đa cộng tuyến thường dùng. Vì vậy, số liệu chưa cho thấy vấn đề đa cộng tuyến nghiêm trọng giữa các biến dự báo trong mô hình cấu trúc (Hair et al., 2022).</w:t>
      </w:r>
    </w:p>
    <w:p w:rsidR="00764EB5" w:rsidRDefault="00DF13CC" w:rsidP="003D6B28">
      <w:pPr>
        <w:rPr>
          <w:color w:val="auto"/>
        </w:rPr>
      </w:pPr>
      <w:r>
        <w:rPr>
          <w:color w:val="auto"/>
        </w:rPr>
        <w:t>Cụ thể, VIF của các đường dự báo YDM gồm CCQ → YDM = 1,077; GTCN → YDM = 1,254; NTHV → YDM = 1,239; TD → YDM = 1,140; VIF của YDM → QDM = 1,000. Các giá trị thấp này củng cố nhận định rằng đa cộng tuyến không phải là vấn đề đáng kể trong mô hình cấu trúc đã báo cáo.</w:t>
      </w:r>
    </w:p>
    <w:p w:rsidR="00764EB5" w:rsidRDefault="00DF13CC" w:rsidP="003D6B28">
      <w:pPr>
        <w:rPr>
          <w:color w:val="auto"/>
        </w:rPr>
      </w:pPr>
      <w:r>
        <w:rPr>
          <w:color w:val="auto"/>
        </w:rPr>
        <w:t>Kết quả VIF củng cố cơ sở để tiếp tục đánh giá hệ số đường dẫn và kiểm định giả thuyết trong mô hình cấu trúc.</w:t>
      </w:r>
    </w:p>
    <w:p w:rsidR="00764EB5" w:rsidRPr="006575F3" w:rsidRDefault="00DF13CC" w:rsidP="007B644D">
      <w:pPr>
        <w:pStyle w:val="Heading2"/>
        <w:rPr>
          <w:i/>
        </w:rPr>
      </w:pPr>
      <w:bookmarkStart w:id="506" w:name="_Toc234224138"/>
      <w:bookmarkStart w:id="507" w:name="_Toc238480640"/>
      <w:bookmarkStart w:id="508" w:name="_Toc241062478"/>
      <w:bookmarkStart w:id="509" w:name="_Toc241064411"/>
      <w:bookmarkStart w:id="510" w:name="_Toc241065344"/>
      <w:bookmarkStart w:id="511" w:name="_Toc241065562"/>
      <w:r w:rsidRPr="006575F3">
        <w:rPr>
          <w:i/>
        </w:rPr>
        <w:lastRenderedPageBreak/>
        <w:t>4.2.3. Đánh giá mô hình cấu trúc</w:t>
      </w:r>
      <w:bookmarkEnd w:id="506"/>
      <w:bookmarkEnd w:id="507"/>
      <w:bookmarkEnd w:id="508"/>
      <w:bookmarkEnd w:id="509"/>
      <w:bookmarkEnd w:id="510"/>
      <w:bookmarkEnd w:id="511"/>
    </w:p>
    <w:p w:rsidR="00764EB5" w:rsidRPr="006575F3" w:rsidRDefault="00DF13CC" w:rsidP="00021C6B">
      <w:pPr>
        <w:pStyle w:val="Heading3"/>
        <w:rPr>
          <w:b w:val="0"/>
        </w:rPr>
      </w:pPr>
      <w:bookmarkStart w:id="512" w:name="_Toc234224139"/>
      <w:bookmarkStart w:id="513" w:name="_Toc241062479"/>
      <w:bookmarkStart w:id="514" w:name="_Toc241064412"/>
      <w:bookmarkStart w:id="515" w:name="_Toc241065345"/>
      <w:bookmarkStart w:id="516" w:name="_Toc241065563"/>
      <w:r w:rsidRPr="006575F3">
        <w:rPr>
          <w:b w:val="0"/>
        </w:rPr>
        <w:t>4.2.3.1. Đánh giá hệ số đường dẫn</w:t>
      </w:r>
      <w:bookmarkEnd w:id="512"/>
      <w:bookmarkEnd w:id="513"/>
      <w:bookmarkEnd w:id="514"/>
      <w:bookmarkEnd w:id="515"/>
      <w:bookmarkEnd w:id="516"/>
    </w:p>
    <w:p w:rsidR="00764EB5" w:rsidRDefault="00DF13CC" w:rsidP="003D6B28">
      <w:pPr>
        <w:rPr>
          <w:color w:val="auto"/>
        </w:rPr>
      </w:pPr>
      <w:r>
        <w:rPr>
          <w:color w:val="auto"/>
        </w:rPr>
        <w:t>Sau khi xác nhận mô hình không gặp vấn đề đa cộng tuyến, nghiên cứu tiến hành đánh giá các mối quan hệ trong mô hình cấu trúc thông qua hệ số đường dẫn (Path Coefficients) và kiểm định ý nghĩa thống kê của các giả thuyết bằng kỹ thuật bootstrapping trên phần mềm SmartPLS.</w:t>
      </w:r>
    </w:p>
    <w:p w:rsidR="00764EB5" w:rsidRDefault="00DF13CC" w:rsidP="006575F3">
      <w:pPr>
        <w:pStyle w:val="DMB"/>
        <w:outlineLvl w:val="0"/>
        <w:rPr>
          <w:i w:val="0"/>
        </w:rPr>
      </w:pPr>
      <w:bookmarkStart w:id="517" w:name="__RefHeading___Toc7797_1147916741"/>
      <w:bookmarkStart w:id="518" w:name="_Toc226534670"/>
      <w:bookmarkStart w:id="519" w:name="_Toc238482030"/>
      <w:bookmarkStart w:id="520" w:name="_Toc241064413"/>
      <w:bookmarkStart w:id="521" w:name="_Toc241065564"/>
      <w:bookmarkEnd w:id="517"/>
      <w:bookmarkEnd w:id="518"/>
      <w:r>
        <w:t>Bảng 4.8. Kết quả phân tích hệ số đường dẫn</w:t>
      </w:r>
      <w:bookmarkEnd w:id="519"/>
      <w:bookmarkEnd w:id="520"/>
      <w:bookmarkEnd w:id="521"/>
    </w:p>
    <w:tbl>
      <w:tblPr>
        <w:tblW w:w="5397" w:type="pct"/>
        <w:tblInd w:w="-459" w:type="dxa"/>
        <w:tblLayout w:type="fixed"/>
        <w:tblLook w:val="04A0" w:firstRow="1" w:lastRow="0" w:firstColumn="1" w:lastColumn="0" w:noHBand="0" w:noVBand="1"/>
      </w:tblPr>
      <w:tblGrid>
        <w:gridCol w:w="1126"/>
        <w:gridCol w:w="1408"/>
        <w:gridCol w:w="987"/>
        <w:gridCol w:w="1127"/>
        <w:gridCol w:w="1272"/>
        <w:gridCol w:w="1408"/>
        <w:gridCol w:w="983"/>
        <w:gridCol w:w="1407"/>
      </w:tblGrid>
      <w:tr w:rsidR="00764EB5">
        <w:trPr>
          <w:trHeight w:val="290"/>
        </w:trPr>
        <w:tc>
          <w:tcPr>
            <w:tcW w:w="1134"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spacing w:line="336" w:lineRule="auto"/>
              <w:ind w:firstLine="0"/>
              <w:jc w:val="center"/>
              <w:rPr>
                <w:szCs w:val="26"/>
              </w:rPr>
            </w:pPr>
            <w:r>
              <w:rPr>
                <w:szCs w:val="26"/>
              </w:rPr>
              <w:t>Giả thuyết</w:t>
            </w:r>
          </w:p>
        </w:tc>
        <w:tc>
          <w:tcPr>
            <w:tcW w:w="1417"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spacing w:line="336" w:lineRule="auto"/>
              <w:ind w:firstLine="0"/>
              <w:jc w:val="center"/>
              <w:rPr>
                <w:szCs w:val="26"/>
              </w:rPr>
            </w:pPr>
            <w:r>
              <w:rPr>
                <w:szCs w:val="26"/>
              </w:rPr>
              <w:t>Mối quan hệ</w:t>
            </w:r>
          </w:p>
        </w:tc>
        <w:tc>
          <w:tcPr>
            <w:tcW w:w="993"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spacing w:line="336" w:lineRule="auto"/>
              <w:ind w:firstLine="0"/>
              <w:jc w:val="center"/>
              <w:rPr>
                <w:szCs w:val="26"/>
              </w:rPr>
            </w:pPr>
            <w:r>
              <w:rPr>
                <w:szCs w:val="26"/>
              </w:rPr>
              <w:t>Original sample (O)</w:t>
            </w:r>
          </w:p>
        </w:tc>
        <w:tc>
          <w:tcPr>
            <w:tcW w:w="1134"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spacing w:line="336" w:lineRule="auto"/>
              <w:ind w:firstLine="0"/>
              <w:jc w:val="center"/>
              <w:rPr>
                <w:szCs w:val="26"/>
              </w:rPr>
            </w:pPr>
            <w:r>
              <w:rPr>
                <w:szCs w:val="26"/>
              </w:rPr>
              <w:t>Sample mean</w:t>
            </w:r>
          </w:p>
          <w:p w:rsidR="00764EB5" w:rsidRDefault="00DF13CC" w:rsidP="002124B8">
            <w:pPr>
              <w:spacing w:line="336" w:lineRule="auto"/>
              <w:ind w:firstLine="0"/>
              <w:jc w:val="center"/>
              <w:rPr>
                <w:szCs w:val="26"/>
              </w:rPr>
            </w:pPr>
            <w:r>
              <w:rPr>
                <w:szCs w:val="26"/>
              </w:rPr>
              <w:t>(M)</w:t>
            </w:r>
          </w:p>
        </w:tc>
        <w:tc>
          <w:tcPr>
            <w:tcW w:w="1280"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spacing w:line="336" w:lineRule="auto"/>
              <w:ind w:firstLine="0"/>
              <w:jc w:val="center"/>
              <w:rPr>
                <w:szCs w:val="26"/>
              </w:rPr>
            </w:pPr>
            <w:r>
              <w:rPr>
                <w:szCs w:val="26"/>
              </w:rPr>
              <w:t>Standard deviation (STDEV)</w:t>
            </w:r>
          </w:p>
        </w:tc>
        <w:tc>
          <w:tcPr>
            <w:tcW w:w="1417"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spacing w:line="336" w:lineRule="auto"/>
              <w:ind w:firstLine="0"/>
              <w:jc w:val="center"/>
              <w:rPr>
                <w:szCs w:val="26"/>
              </w:rPr>
            </w:pPr>
            <w:r>
              <w:rPr>
                <w:szCs w:val="26"/>
              </w:rPr>
              <w:t>T statistics (|O/STDEV|)</w:t>
            </w:r>
          </w:p>
        </w:tc>
        <w:tc>
          <w:tcPr>
            <w:tcW w:w="989"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spacing w:line="336" w:lineRule="auto"/>
              <w:ind w:firstLine="0"/>
              <w:jc w:val="center"/>
              <w:rPr>
                <w:szCs w:val="26"/>
              </w:rPr>
            </w:pPr>
            <w:r>
              <w:rPr>
                <w:szCs w:val="26"/>
              </w:rPr>
              <w:t>P values</w:t>
            </w:r>
          </w:p>
        </w:tc>
        <w:tc>
          <w:tcPr>
            <w:tcW w:w="1416" w:type="dxa"/>
            <w:tcBorders>
              <w:top w:val="single" w:sz="4" w:space="0" w:color="000000"/>
              <w:left w:val="single" w:sz="4" w:space="0" w:color="000000"/>
              <w:bottom w:val="single" w:sz="4" w:space="0" w:color="000000"/>
              <w:right w:val="single" w:sz="4" w:space="0" w:color="000000"/>
            </w:tcBorders>
            <w:vAlign w:val="center"/>
          </w:tcPr>
          <w:p w:rsidR="00764EB5" w:rsidRDefault="00DF13CC" w:rsidP="002124B8">
            <w:pPr>
              <w:spacing w:line="336" w:lineRule="auto"/>
              <w:ind w:firstLine="0"/>
              <w:jc w:val="center"/>
              <w:rPr>
                <w:szCs w:val="26"/>
              </w:rPr>
            </w:pPr>
            <w:r>
              <w:rPr>
                <w:szCs w:val="26"/>
              </w:rPr>
              <w:t>Kết luận</w:t>
            </w:r>
          </w:p>
        </w:tc>
      </w:tr>
      <w:tr w:rsidR="00764EB5">
        <w:trPr>
          <w:trHeight w:val="290"/>
        </w:trPr>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H2</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CCQ -&gt; YDM</w:t>
            </w:r>
          </w:p>
        </w:tc>
        <w:tc>
          <w:tcPr>
            <w:tcW w:w="993"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0,300</w:t>
            </w:r>
          </w:p>
        </w:tc>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0,303</w:t>
            </w:r>
          </w:p>
        </w:tc>
        <w:tc>
          <w:tcPr>
            <w:tcW w:w="1280"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0,055</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5,462</w:t>
            </w:r>
          </w:p>
        </w:tc>
        <w:tc>
          <w:tcPr>
            <w:tcW w:w="989"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0,000</w:t>
            </w:r>
          </w:p>
        </w:tc>
        <w:tc>
          <w:tcPr>
            <w:tcW w:w="1416"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Chấp nhận</w:t>
            </w:r>
          </w:p>
        </w:tc>
      </w:tr>
      <w:tr w:rsidR="00764EB5">
        <w:trPr>
          <w:trHeight w:val="290"/>
        </w:trPr>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H4</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GTCN -&gt; YDM</w:t>
            </w:r>
          </w:p>
        </w:tc>
        <w:tc>
          <w:tcPr>
            <w:tcW w:w="993"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0,303</w:t>
            </w:r>
          </w:p>
        </w:tc>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0,303</w:t>
            </w:r>
          </w:p>
        </w:tc>
        <w:tc>
          <w:tcPr>
            <w:tcW w:w="1280"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0,053</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5,680</w:t>
            </w:r>
          </w:p>
        </w:tc>
        <w:tc>
          <w:tcPr>
            <w:tcW w:w="989"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0,000</w:t>
            </w:r>
          </w:p>
        </w:tc>
        <w:tc>
          <w:tcPr>
            <w:tcW w:w="1416"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Chấp nhận</w:t>
            </w:r>
          </w:p>
        </w:tc>
      </w:tr>
      <w:tr w:rsidR="00764EB5">
        <w:trPr>
          <w:trHeight w:val="290"/>
        </w:trPr>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H3</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NTHV -&gt; YDM</w:t>
            </w:r>
          </w:p>
        </w:tc>
        <w:tc>
          <w:tcPr>
            <w:tcW w:w="993"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0,150</w:t>
            </w:r>
          </w:p>
        </w:tc>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0,149</w:t>
            </w:r>
          </w:p>
        </w:tc>
        <w:tc>
          <w:tcPr>
            <w:tcW w:w="1280"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0,059</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2,533</w:t>
            </w:r>
          </w:p>
        </w:tc>
        <w:tc>
          <w:tcPr>
            <w:tcW w:w="989"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0,011</w:t>
            </w:r>
          </w:p>
        </w:tc>
        <w:tc>
          <w:tcPr>
            <w:tcW w:w="1416"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Chấp nhận</w:t>
            </w:r>
          </w:p>
        </w:tc>
      </w:tr>
      <w:tr w:rsidR="00764EB5">
        <w:trPr>
          <w:trHeight w:val="290"/>
        </w:trPr>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H1</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TD -&gt; YDM</w:t>
            </w:r>
          </w:p>
        </w:tc>
        <w:tc>
          <w:tcPr>
            <w:tcW w:w="993"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0,271</w:t>
            </w:r>
          </w:p>
        </w:tc>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0,270</w:t>
            </w:r>
          </w:p>
        </w:tc>
        <w:tc>
          <w:tcPr>
            <w:tcW w:w="1280"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0,055</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4,902</w:t>
            </w:r>
          </w:p>
        </w:tc>
        <w:tc>
          <w:tcPr>
            <w:tcW w:w="989"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0,000</w:t>
            </w:r>
          </w:p>
        </w:tc>
        <w:tc>
          <w:tcPr>
            <w:tcW w:w="1416"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Chấp nhận</w:t>
            </w:r>
          </w:p>
        </w:tc>
      </w:tr>
      <w:tr w:rsidR="00764EB5">
        <w:trPr>
          <w:trHeight w:val="290"/>
        </w:trPr>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H5</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YDM -&gt; QDM</w:t>
            </w:r>
          </w:p>
        </w:tc>
        <w:tc>
          <w:tcPr>
            <w:tcW w:w="993"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0,586</w:t>
            </w:r>
          </w:p>
        </w:tc>
        <w:tc>
          <w:tcPr>
            <w:tcW w:w="1134"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0,588</w:t>
            </w:r>
          </w:p>
        </w:tc>
        <w:tc>
          <w:tcPr>
            <w:tcW w:w="1280"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0,043</w:t>
            </w:r>
          </w:p>
        </w:tc>
        <w:tc>
          <w:tcPr>
            <w:tcW w:w="1417"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13,614</w:t>
            </w:r>
          </w:p>
        </w:tc>
        <w:tc>
          <w:tcPr>
            <w:tcW w:w="989"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jc w:val="right"/>
              <w:rPr>
                <w:szCs w:val="26"/>
              </w:rPr>
            </w:pPr>
            <w:r>
              <w:rPr>
                <w:szCs w:val="26"/>
              </w:rPr>
              <w:t>0,000</w:t>
            </w:r>
          </w:p>
        </w:tc>
        <w:tc>
          <w:tcPr>
            <w:tcW w:w="1416" w:type="dxa"/>
            <w:tcBorders>
              <w:top w:val="single" w:sz="4" w:space="0" w:color="000000"/>
              <w:left w:val="single" w:sz="4" w:space="0" w:color="000000"/>
              <w:bottom w:val="single" w:sz="4" w:space="0" w:color="000000"/>
              <w:right w:val="single" w:sz="4" w:space="0" w:color="000000"/>
            </w:tcBorders>
          </w:tcPr>
          <w:p w:rsidR="00764EB5" w:rsidRDefault="00DF13CC" w:rsidP="002124B8">
            <w:pPr>
              <w:spacing w:line="336" w:lineRule="auto"/>
              <w:ind w:firstLine="0"/>
              <w:rPr>
                <w:szCs w:val="26"/>
              </w:rPr>
            </w:pPr>
            <w:r>
              <w:rPr>
                <w:szCs w:val="26"/>
              </w:rPr>
              <w:t>Chấp nhận</w:t>
            </w:r>
          </w:p>
        </w:tc>
      </w:tr>
    </w:tbl>
    <w:p w:rsidR="00764EB5" w:rsidRDefault="00764EB5" w:rsidP="003D6B28">
      <w:pPr>
        <w:rPr>
          <w:color w:val="auto"/>
        </w:rPr>
      </w:pPr>
    </w:p>
    <w:p w:rsidR="00764EB5" w:rsidRDefault="00DF13CC" w:rsidP="003D6B28">
      <w:pPr>
        <w:rPr>
          <w:color w:val="auto"/>
        </w:rPr>
      </w:pPr>
      <w:r>
        <w:rPr>
          <w:color w:val="auto"/>
        </w:rPr>
        <w:t>Kết quả bootstrapping cho thấy cả năm quan hệ trong mô hình đều có hệ số dương và có ý nghĩa thống kê ở mức 5%. CCQ → YDM đạt β = 0,300; GTCN → YDM đạt β = 0,303; NTHV → YDM đạt β = 0,150; TD → YDM đạt β = 0,271; YDM → QDM đạt β = 0,586.</w:t>
      </w:r>
    </w:p>
    <w:p w:rsidR="00764EB5" w:rsidRDefault="00DF13CC" w:rsidP="003D6B28">
      <w:pPr>
        <w:rPr>
          <w:color w:val="auto"/>
        </w:rPr>
      </w:pPr>
      <w:r>
        <w:rPr>
          <w:color w:val="auto"/>
        </w:rPr>
        <w:t>Điểm cần nhấn mạnh là việc phân tích hệ số đường dẫn không nên dừng ở cách xếp hạng từ cao xuống thấp. β phản ánh độ lớn mối quan hệ chuẩn hóa trong cấu trúc mô hình, nhưng để đánh giá ý nghĩa tương đối của một biến cần kết hợp β với f², mức ý nghĩa thống kê, cơ sở lý thuyết và đặc điểm của thang đo.</w:t>
      </w:r>
    </w:p>
    <w:p w:rsidR="00764EB5" w:rsidRDefault="00DF13CC" w:rsidP="006575F3">
      <w:pPr>
        <w:spacing w:line="348" w:lineRule="auto"/>
        <w:rPr>
          <w:color w:val="auto"/>
        </w:rPr>
      </w:pPr>
      <w:r>
        <w:rPr>
          <w:color w:val="auto"/>
        </w:rPr>
        <w:lastRenderedPageBreak/>
        <w:t>Đối với GTCN → YDM, β = 0,303; t = 5,680 và p &lt; 0,001. Kết quả cho thấy khi người mua đánh giá căn hộ mang lại mức giá trị tổng thể cao hơn, Ý định mua có xu hướng gia tăng. Phát hiện phù hợp với cách tiếp cận giá trị cảm nhận của Zeithaml (1988), theo đó người tiêu dùng hình thành đánh giá tổng thể dựa trên tương quan giữa những lợi ích nhận được và những nguồn lực phải bỏ ra.</w:t>
      </w:r>
    </w:p>
    <w:p w:rsidR="00764EB5" w:rsidRDefault="00DF13CC" w:rsidP="006575F3">
      <w:pPr>
        <w:spacing w:line="348" w:lineRule="auto"/>
        <w:rPr>
          <w:color w:val="auto"/>
        </w:rPr>
      </w:pPr>
      <w:r>
        <w:rPr>
          <w:color w:val="auto"/>
        </w:rPr>
        <w:t>Trong thị trường căn hộ, “giá trị” không chỉ được hiểu là giá bán thấp. Một sản phẩm có mức giá cao vẫn có thể tạo ra GTCN tích cực nếu người mua đánh giá lợi ích về chất lượng, vị trí, khả năng sử dụng, pháp lý, tiện ích và tính an toàn của giao dịch tương xứng với nguồn lực phải bỏ ra. Ngược lại, một sản phẩm có giá thấp nhưng tiềm ẩn rủi ro pháp lý, chi phí sử dụng lớn hoặc chất lượng không phù hợp có thể không tạo ra GTCN cao.</w:t>
      </w:r>
    </w:p>
    <w:p w:rsidR="00764EB5" w:rsidRDefault="00DF13CC" w:rsidP="006575F3">
      <w:pPr>
        <w:spacing w:line="348" w:lineRule="auto"/>
        <w:rPr>
          <w:color w:val="auto"/>
        </w:rPr>
      </w:pPr>
      <w:r>
        <w:rPr>
          <w:color w:val="auto"/>
        </w:rPr>
        <w:t>Tuy nhiên, β = 0,303 của GTCN chỉ cao hơn CCQ = 0,300 đúng 0,003. Đây là chênh lệch rất nhỏ và không có kiểm định trực tiếp chứng minh hai hệ số khác biệt có ý nghĩa thống kê. Vì vậy, luận án không kết luận GTCN là “yếu tố mạnh nhất”, mà xem GTCN và CCQ là hai nguồn ảnh hưởng có hệ số ước lượng gần tương đương.</w:t>
      </w:r>
    </w:p>
    <w:p w:rsidR="00764EB5" w:rsidRDefault="00DF13CC" w:rsidP="006575F3">
      <w:pPr>
        <w:spacing w:line="348" w:lineRule="auto"/>
        <w:rPr>
          <w:color w:val="auto"/>
        </w:rPr>
      </w:pPr>
      <w:r>
        <w:rPr>
          <w:color w:val="auto"/>
        </w:rPr>
        <w:t>Đối với CCQ → YDM, β = 0,300; t = 5,462 và p &lt; 0,001. Kết quả xác nhận vai trò của môi trường xã hội trong quá trình hình thành Ý định mua căn hộ. Phát hiện này phù hợp với TPB của Ajzen (1991) và với nghiên cứu của Levy et al. (2008), trong đó quyết định nhà ở được nhìn nhận như một quá trình có sự tương tác giữa các thành viên gia đình.</w:t>
      </w:r>
    </w:p>
    <w:p w:rsidR="00764EB5" w:rsidRPr="007B644D" w:rsidRDefault="00DF13CC" w:rsidP="006575F3">
      <w:pPr>
        <w:spacing w:line="348" w:lineRule="auto"/>
        <w:rPr>
          <w:color w:val="auto"/>
          <w:spacing w:val="-2"/>
        </w:rPr>
      </w:pPr>
      <w:r w:rsidRPr="007B644D">
        <w:rPr>
          <w:color w:val="auto"/>
          <w:spacing w:val="-2"/>
        </w:rPr>
        <w:t>Trong bối cảnh Việt Nam, mua căn hộ là một quyết định tài chính có giá trị lớn, thường liên quan tới nguồn lực chung của hộ gia đình. Vì vậy, người mua có thể không chỉ đánh giá lợi ích cá nhân mà còn cân nhắc mức độ đồng thuận của vợ/chồng, cha mẹ hoặc những người cùng tham gia tài chính. Kết quả của Pham Dinh et al. (2022) trong bối cảnh mua căn hộ tại Việt Nam cũng hỗ trợ vai trò của chuẩn chủ quan.</w:t>
      </w:r>
    </w:p>
    <w:p w:rsidR="00764EB5" w:rsidRDefault="00DF13CC" w:rsidP="006575F3">
      <w:pPr>
        <w:spacing w:line="348" w:lineRule="auto"/>
        <w:rPr>
          <w:color w:val="auto"/>
        </w:rPr>
      </w:pPr>
      <w:r>
        <w:rPr>
          <w:color w:val="auto"/>
        </w:rPr>
        <w:t>Đáng chú ý, mặc dù β của CCQ thấp hơn GTCN 0,003, f² của CCQ lại cao hơn GTCN. Điều này cho thấy việc dựa duy nhất vào hệ số đường dẫn để xếp hạng biến có thể dẫn đến kết luận thiếu chính xác.</w:t>
      </w:r>
    </w:p>
    <w:p w:rsidR="00764EB5" w:rsidRDefault="00DF13CC" w:rsidP="003D6B28">
      <w:pPr>
        <w:rPr>
          <w:color w:val="auto"/>
        </w:rPr>
      </w:pPr>
      <w:r>
        <w:rPr>
          <w:color w:val="auto"/>
        </w:rPr>
        <w:lastRenderedPageBreak/>
        <w:t>Đối với TD → YDM, β = 0,271; t = 4,902 và p &lt; 0,001. Kết quả phù hợp với TPB, theo đó đánh giá tích cực đối với một hành vi làm tăng khả năng hình thành ý định thực hiện hành vi đó (Ajzen, 1991).</w:t>
      </w:r>
    </w:p>
    <w:p w:rsidR="00764EB5" w:rsidRDefault="00DF13CC" w:rsidP="003D6B28">
      <w:pPr>
        <w:rPr>
          <w:color w:val="auto"/>
        </w:rPr>
      </w:pPr>
      <w:r>
        <w:rPr>
          <w:color w:val="auto"/>
        </w:rPr>
        <w:t>Tuy nhiên, việc TD có hệ số thấp hơn GTCN và CCQ cho thấy đối với một quyết định tài sản có giá trị lớn, đánh giá tích cực đối với hành vi mua chưa phải điều kiện duy nhất hình thành YDM. Một khách hàng có thể có thái độ tích cực với việc sở hữu căn hộ nhưng vẫn chưa hình thành ý định mạnh nếu chưa nhìn thấy giá trị phù hợp trong sản phẩm hoặc chưa nhận được sự đồng thuận từ môi trường xã hội.</w:t>
      </w:r>
    </w:p>
    <w:p w:rsidR="00764EB5" w:rsidRDefault="00DF13CC" w:rsidP="006575F3">
      <w:pPr>
        <w:spacing w:line="341" w:lineRule="auto"/>
        <w:rPr>
          <w:color w:val="auto"/>
        </w:rPr>
      </w:pPr>
      <w:r>
        <w:rPr>
          <w:color w:val="auto"/>
        </w:rPr>
        <w:t>Kết quả này đồng thời hỗ trợ sự phân biệt giữa TD và GTCN trong mô hình. TD trả lời câu hỏi cá nhân đánh giá việc mua căn hộ như thế nào, trong khi GTCN tập trung vào đánh giá căn hộ đem lại bao nhiêu giá trị so với chi phí và nguồn lực bỏ ra. Hai cấu trúc có liên quan nhưng không thay thế nhau.</w:t>
      </w:r>
    </w:p>
    <w:p w:rsidR="00764EB5" w:rsidRDefault="00DF13CC" w:rsidP="006575F3">
      <w:pPr>
        <w:spacing w:line="341" w:lineRule="auto"/>
        <w:rPr>
          <w:color w:val="auto"/>
        </w:rPr>
      </w:pPr>
      <w:r>
        <w:rPr>
          <w:color w:val="auto"/>
        </w:rPr>
        <w:t>Đối với NTHV → YDM, β = 0,150; t = 2,533; p = 0,011. Đây là hệ số thấp nhất trong bốn biến dự báo YDM nhưng vẫn có ý nghĩa thống kê.</w:t>
      </w:r>
    </w:p>
    <w:p w:rsidR="00764EB5" w:rsidRDefault="00DF13CC" w:rsidP="006575F3">
      <w:pPr>
        <w:spacing w:line="341" w:lineRule="auto"/>
        <w:rPr>
          <w:color w:val="auto"/>
        </w:rPr>
      </w:pPr>
      <w:r>
        <w:rPr>
          <w:color w:val="auto"/>
        </w:rPr>
        <w:t>Kết quả không nên được diễn giải rằng khả năng tài chính hoặc khả năng kiểm soát nguồn lực là không quan trọng. Trong TPB, NTHV phản ánh nhận thức của cá nhân về khả năng thực hiện hành vi, không đồng nhất hoàn toàn với thu nhập hay tài sản khách quan.</w:t>
      </w:r>
    </w:p>
    <w:p w:rsidR="00764EB5" w:rsidRDefault="00DF13CC" w:rsidP="006575F3">
      <w:pPr>
        <w:spacing w:line="341" w:lineRule="auto"/>
        <w:rPr>
          <w:color w:val="auto"/>
        </w:rPr>
      </w:pPr>
      <w:r>
        <w:rPr>
          <w:color w:val="auto"/>
        </w:rPr>
        <w:t>Hơn nữa, cấu trúc mẫu có thể góp phần giải thích kết quả này. Khoảng 58,7% mẫu thuộc nhóm thu nhập từ 20 đến dưới 50 triệu đồng/tháng; 45,4% dự kiến dùng vốn tự có và 49,6% kết hợp vốn tự có với vay. Như vậy, phần lớn người tham gia khảo sát đã có mức độ tiếp cận tài chính nhất định. Trong một mẫu như vậy, NTHV có thể ít biến thiên hơn so với trường hợp bao gồm tỷ trọng lớn người hoàn toàn chưa có khả năng tiếp cận thị trường căn hộ.</w:t>
      </w:r>
    </w:p>
    <w:p w:rsidR="00764EB5" w:rsidRDefault="00DF13CC" w:rsidP="006575F3">
      <w:pPr>
        <w:spacing w:line="341" w:lineRule="auto"/>
        <w:rPr>
          <w:color w:val="auto"/>
        </w:rPr>
      </w:pPr>
      <w:r>
        <w:rPr>
          <w:color w:val="auto"/>
        </w:rPr>
        <w:t>Một khả năng khác là vai trò của điều kiện tài chính thực tế trở nên rõ hơn ở giai đoạn chuyển từ YDM sang QDM hoặc từ QDM sang giao dịch hoàn tất, trong khi mô hình hiện tại chỉ kiểm định NTHV → YDM. Đây là một hướng lý giải và nghiên cứu tiếp theo, không phải bằng chứng để bổ sung một đường tác động mới vào mô hình hiện tại.</w:t>
      </w:r>
    </w:p>
    <w:p w:rsidR="00764EB5" w:rsidRDefault="00DF13CC" w:rsidP="006575F3">
      <w:pPr>
        <w:spacing w:line="341" w:lineRule="auto"/>
        <w:rPr>
          <w:color w:val="auto"/>
        </w:rPr>
      </w:pPr>
      <w:r>
        <w:rPr>
          <w:color w:val="auto"/>
        </w:rPr>
        <w:lastRenderedPageBreak/>
        <w:t>Đối với YDM → QDM, β = 0,586; t = 13,614; p &lt; 0,001. Đây là quan hệ có hệ số lớn nhất và mức ý nghĩa thống kê cao nhất trong mô hình.</w:t>
      </w:r>
    </w:p>
    <w:p w:rsidR="00764EB5" w:rsidRDefault="00DF13CC" w:rsidP="006575F3">
      <w:pPr>
        <w:spacing w:line="341" w:lineRule="auto"/>
        <w:rPr>
          <w:color w:val="auto"/>
        </w:rPr>
      </w:pPr>
      <w:r>
        <w:rPr>
          <w:color w:val="auto"/>
        </w:rPr>
        <w:t>Kết quả phù hợp mạnh với TPB của Ajzen (1991), theo đó ý định là tiền đề gần của hành động. Tuy nhiên, cần tiếp tục duy trì cách hiểu chính xác về QDM. Trong luận án, QDM là mức độ sẵn sàng ra quyết định mua, không phải hành vi mua đã hoàn tất.</w:t>
      </w:r>
    </w:p>
    <w:p w:rsidR="00764EB5" w:rsidRDefault="00DF13CC" w:rsidP="007B644D">
      <w:pPr>
        <w:spacing w:line="348" w:lineRule="auto"/>
        <w:rPr>
          <w:color w:val="auto"/>
        </w:rPr>
      </w:pPr>
      <w:r>
        <w:rPr>
          <w:color w:val="auto"/>
        </w:rPr>
        <w:t>Do đó, β = 0,586 có nghĩa rằng YDM cao hơn gắn với mức độ sẵn sàng cao hơn trong việc lựa chọn dự án, chuẩn bị thủ tục, chuẩn bị nguồn lực và tiến tới giao dịch. Hệ số này không có nghĩa “58,6% người có ý định sẽ thực hiện giao dịch”, bởi hệ số đường dẫn chuẩn hóa không phải xác suất chuyển đổi.</w:t>
      </w:r>
    </w:p>
    <w:p w:rsidR="00764EB5" w:rsidRDefault="00DF13CC" w:rsidP="007B644D">
      <w:pPr>
        <w:spacing w:line="348" w:lineRule="auto"/>
        <w:rPr>
          <w:color w:val="auto"/>
        </w:rPr>
      </w:pPr>
      <w:r>
        <w:rPr>
          <w:color w:val="auto"/>
        </w:rPr>
        <w:t>Kết quả YDM → QDM tạo ra trục chính của mô hình: các yếu tố tâm lý, xã hội, khả năng kiểm soát và đánh giá giá trị trước hết hình thành YDM; từ đó YDM trở thành biến gần nhất dự báo mức độ sẵn sàng ra quyết định.</w:t>
      </w:r>
    </w:p>
    <w:p w:rsidR="00764EB5" w:rsidRPr="006575F3" w:rsidRDefault="00DF13CC" w:rsidP="00021C6B">
      <w:pPr>
        <w:pStyle w:val="Heading3"/>
        <w:rPr>
          <w:b w:val="0"/>
        </w:rPr>
      </w:pPr>
      <w:bookmarkStart w:id="522" w:name="_Toc241062480"/>
      <w:bookmarkStart w:id="523" w:name="_Toc241064414"/>
      <w:bookmarkStart w:id="524" w:name="_Toc241065347"/>
      <w:bookmarkStart w:id="525" w:name="_Toc241065565"/>
      <w:r w:rsidRPr="006575F3">
        <w:rPr>
          <w:b w:val="0"/>
        </w:rPr>
        <w:t>4.2.3.2. Kiểm định giả thuyết nghiên cứu</w:t>
      </w:r>
      <w:bookmarkEnd w:id="522"/>
      <w:bookmarkEnd w:id="523"/>
      <w:bookmarkEnd w:id="524"/>
      <w:bookmarkEnd w:id="525"/>
    </w:p>
    <w:p w:rsidR="00764EB5" w:rsidRDefault="00DF13CC" w:rsidP="007B644D">
      <w:pPr>
        <w:spacing w:line="348" w:lineRule="auto"/>
        <w:rPr>
          <w:color w:val="auto"/>
        </w:rPr>
      </w:pPr>
      <w:r>
        <w:rPr>
          <w:color w:val="auto"/>
        </w:rPr>
        <w:t>Kết quả cho thấy H1, H2, H3, H4 và H5 đều được chấp nhận ở mức ý nghĩa 5%. Điều này cung cấp bằng chứng thực nghiệm ủng hộ cấu trúc mô hình đã được xây dựng tại Chương 2.</w:t>
      </w:r>
    </w:p>
    <w:p w:rsidR="00764EB5" w:rsidRPr="007B644D" w:rsidRDefault="00DF13CC" w:rsidP="007B644D">
      <w:pPr>
        <w:spacing w:line="348" w:lineRule="auto"/>
        <w:rPr>
          <w:color w:val="auto"/>
          <w:spacing w:val="-2"/>
        </w:rPr>
      </w:pPr>
      <w:r w:rsidRPr="007B644D">
        <w:rPr>
          <w:color w:val="auto"/>
          <w:spacing w:val="-2"/>
        </w:rPr>
        <w:t>Tuy nhiên, việc tất cả giả thuyết đều được chấp nhận không có nghĩa tất cả các yếu tố có vai trò tương đương. Hệ số đường dẫn và kích thước ảnh hưởng cho thấy mức đóng góp của các cấu trúc khác nhau. Vì vậy, kết luận nghiên cứu cần chuyển từ câu hỏi nhị phân “có tác động hay không” sang phân tích sâu hơn về tác động theo cơ chế nào, mức độ bao nhiêu và hàm ý gì đối với tiến trình hình thành quyết định mua.</w:t>
      </w:r>
    </w:p>
    <w:p w:rsidR="00764EB5" w:rsidRDefault="00DF13CC" w:rsidP="007B644D">
      <w:pPr>
        <w:spacing w:line="343" w:lineRule="auto"/>
        <w:rPr>
          <w:color w:val="auto"/>
        </w:rPr>
      </w:pPr>
      <w:r>
        <w:rPr>
          <w:color w:val="auto"/>
        </w:rPr>
        <w:t>Kết quả cũng cần được giới hạn theo thiết kế dữ liệu. Do nghiên cứu sử dụng dữ liệu cắt ngang và chọn mẫu phi xác suất, thuật ngữ “tác động” trong luận án được sử dụng theo nghĩa quan hệ dự báo được ước lượng trong mô hình PLS-SEM, không phải bằng chứng nhân quả tuyệt đối.</w:t>
      </w:r>
    </w:p>
    <w:p w:rsidR="00764EB5" w:rsidRPr="006575F3" w:rsidRDefault="00DF13CC" w:rsidP="007B644D">
      <w:pPr>
        <w:pStyle w:val="Heading2"/>
        <w:rPr>
          <w:b w:val="0"/>
          <w:i/>
        </w:rPr>
      </w:pPr>
      <w:bookmarkStart w:id="526" w:name="_Toc234224141"/>
      <w:bookmarkStart w:id="527" w:name="_Toc238480643"/>
      <w:bookmarkStart w:id="528" w:name="_Toc241062481"/>
      <w:bookmarkStart w:id="529" w:name="_Toc241064415"/>
      <w:bookmarkStart w:id="530" w:name="_Toc241065348"/>
      <w:bookmarkStart w:id="531" w:name="_Toc241065566"/>
      <w:r w:rsidRPr="006575F3">
        <w:rPr>
          <w:b w:val="0"/>
          <w:i/>
        </w:rPr>
        <w:t>4.2.3.3. Đánh giá sức mạnh mô hình</w:t>
      </w:r>
      <w:bookmarkEnd w:id="526"/>
      <w:bookmarkEnd w:id="527"/>
      <w:bookmarkEnd w:id="528"/>
      <w:bookmarkEnd w:id="529"/>
      <w:bookmarkEnd w:id="530"/>
      <w:bookmarkEnd w:id="531"/>
    </w:p>
    <w:p w:rsidR="00764EB5" w:rsidRDefault="00DF13CC" w:rsidP="00021C6B">
      <w:pPr>
        <w:pStyle w:val="Heading3"/>
      </w:pPr>
      <w:bookmarkStart w:id="532" w:name="_Toc234224142"/>
      <w:bookmarkStart w:id="533" w:name="_Toc241062482"/>
      <w:bookmarkStart w:id="534" w:name="_Toc241064416"/>
      <w:bookmarkStart w:id="535" w:name="_Toc241065349"/>
      <w:bookmarkStart w:id="536" w:name="_Toc241065567"/>
      <w:r>
        <w:t>(1) Hệ số xác định (R²)</w:t>
      </w:r>
      <w:bookmarkEnd w:id="532"/>
      <w:bookmarkEnd w:id="533"/>
      <w:bookmarkEnd w:id="534"/>
      <w:bookmarkEnd w:id="535"/>
      <w:bookmarkEnd w:id="536"/>
    </w:p>
    <w:p w:rsidR="00764EB5" w:rsidRDefault="00DF13CC" w:rsidP="007B644D">
      <w:pPr>
        <w:spacing w:line="343" w:lineRule="auto"/>
        <w:rPr>
          <w:color w:val="auto"/>
        </w:rPr>
      </w:pPr>
      <w:r>
        <w:rPr>
          <w:color w:val="auto"/>
        </w:rPr>
        <w:t xml:space="preserve">Sau khi kiểm định các hệ số đường dẫn và giả thuyết nghiên cứu, nghiên cứu tiếp tục đánh giá mức độ giải thích của mô hình thông qua hệ số xác định (R²). Chỉ </w:t>
      </w:r>
      <w:r>
        <w:rPr>
          <w:color w:val="auto"/>
        </w:rPr>
        <w:lastRenderedPageBreak/>
        <w:t>số này phản ánh mức độ mà các biến độc lập có thể giải thích phương sai của biến phụ thuộc trong mô hình cấu trúc.</w:t>
      </w:r>
    </w:p>
    <w:p w:rsidR="00764EB5" w:rsidRDefault="00DF13CC" w:rsidP="006575F3">
      <w:pPr>
        <w:pStyle w:val="DMB"/>
        <w:outlineLvl w:val="0"/>
      </w:pPr>
      <w:bookmarkStart w:id="537" w:name="__RefHeading___Toc7795_1147916741"/>
      <w:bookmarkStart w:id="538" w:name="_Toc226534671"/>
      <w:bookmarkStart w:id="539" w:name="_Toc238482031"/>
      <w:bookmarkStart w:id="540" w:name="_Toc241064417"/>
      <w:bookmarkStart w:id="541" w:name="_Toc241065568"/>
      <w:bookmarkEnd w:id="537"/>
      <w:bookmarkEnd w:id="538"/>
      <w:r>
        <w:t>Bảng 4.9. Hệ số xác định (R²)</w:t>
      </w:r>
      <w:bookmarkEnd w:id="539"/>
      <w:bookmarkEnd w:id="540"/>
      <w:bookmarkEnd w:id="541"/>
    </w:p>
    <w:tbl>
      <w:tblPr>
        <w:tblW w:w="4699" w:type="dxa"/>
        <w:jc w:val="center"/>
        <w:tblLayout w:type="fixed"/>
        <w:tblLook w:val="04A0" w:firstRow="1" w:lastRow="0" w:firstColumn="1" w:lastColumn="0" w:noHBand="0" w:noVBand="1"/>
      </w:tblPr>
      <w:tblGrid>
        <w:gridCol w:w="1211"/>
        <w:gridCol w:w="1538"/>
        <w:gridCol w:w="1950"/>
      </w:tblGrid>
      <w:tr w:rsidR="00764EB5">
        <w:trPr>
          <w:trHeight w:val="290"/>
          <w:jc w:val="center"/>
        </w:trPr>
        <w:tc>
          <w:tcPr>
            <w:tcW w:w="1211" w:type="dxa"/>
            <w:vAlign w:val="bottom"/>
          </w:tcPr>
          <w:p w:rsidR="00764EB5" w:rsidRDefault="00764EB5" w:rsidP="003D6B28">
            <w:pPr>
              <w:ind w:firstLine="0"/>
              <w:jc w:val="left"/>
              <w:rPr>
                <w:color w:val="auto"/>
                <w:sz w:val="24"/>
                <w:szCs w:val="24"/>
              </w:rPr>
            </w:pPr>
          </w:p>
        </w:tc>
        <w:tc>
          <w:tcPr>
            <w:tcW w:w="1538"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ind w:firstLine="0"/>
              <w:jc w:val="right"/>
              <w:rPr>
                <w:color w:val="auto"/>
                <w:sz w:val="24"/>
                <w:szCs w:val="24"/>
              </w:rPr>
            </w:pPr>
            <w:r>
              <w:rPr>
                <w:color w:val="auto"/>
                <w:sz w:val="24"/>
                <w:szCs w:val="24"/>
              </w:rPr>
              <w:t>R-square</w:t>
            </w:r>
          </w:p>
        </w:tc>
        <w:tc>
          <w:tcPr>
            <w:tcW w:w="1950" w:type="dxa"/>
            <w:tcBorders>
              <w:top w:val="single" w:sz="4" w:space="0" w:color="000000"/>
              <w:bottom w:val="single" w:sz="4" w:space="0" w:color="000000"/>
              <w:right w:val="single" w:sz="4" w:space="0" w:color="000000"/>
            </w:tcBorders>
            <w:vAlign w:val="bottom"/>
          </w:tcPr>
          <w:p w:rsidR="00764EB5" w:rsidRDefault="00DF13CC" w:rsidP="003D6B28">
            <w:pPr>
              <w:ind w:firstLine="0"/>
              <w:jc w:val="right"/>
              <w:rPr>
                <w:color w:val="auto"/>
                <w:sz w:val="24"/>
                <w:szCs w:val="24"/>
              </w:rPr>
            </w:pPr>
            <w:r>
              <w:rPr>
                <w:color w:val="auto"/>
                <w:sz w:val="24"/>
                <w:szCs w:val="24"/>
              </w:rPr>
              <w:t>R-square adjusted</w:t>
            </w:r>
          </w:p>
        </w:tc>
      </w:tr>
      <w:tr w:rsidR="00764EB5" w:rsidTr="007B644D">
        <w:trPr>
          <w:trHeight w:val="290"/>
          <w:jc w:val="center"/>
        </w:trPr>
        <w:tc>
          <w:tcPr>
            <w:tcW w:w="1211"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ind w:firstLine="0"/>
              <w:jc w:val="left"/>
              <w:rPr>
                <w:color w:val="auto"/>
                <w:sz w:val="24"/>
                <w:szCs w:val="24"/>
              </w:rPr>
            </w:pPr>
            <w:r>
              <w:rPr>
                <w:color w:val="auto"/>
                <w:sz w:val="24"/>
                <w:szCs w:val="24"/>
              </w:rPr>
              <w:t>QDM</w:t>
            </w:r>
          </w:p>
        </w:tc>
        <w:tc>
          <w:tcPr>
            <w:tcW w:w="1538" w:type="dxa"/>
            <w:tcBorders>
              <w:bottom w:val="single" w:sz="4" w:space="0" w:color="000000"/>
              <w:right w:val="single" w:sz="4" w:space="0" w:color="000000"/>
            </w:tcBorders>
            <w:vAlign w:val="bottom"/>
          </w:tcPr>
          <w:p w:rsidR="00764EB5" w:rsidRDefault="00DF13CC" w:rsidP="003D6B28">
            <w:pPr>
              <w:ind w:firstLine="0"/>
              <w:jc w:val="right"/>
              <w:rPr>
                <w:color w:val="auto"/>
                <w:sz w:val="24"/>
                <w:szCs w:val="24"/>
              </w:rPr>
            </w:pPr>
            <w:r>
              <w:rPr>
                <w:color w:val="auto"/>
                <w:sz w:val="24"/>
                <w:szCs w:val="24"/>
              </w:rPr>
              <w:t>0,344</w:t>
            </w:r>
          </w:p>
        </w:tc>
        <w:tc>
          <w:tcPr>
            <w:tcW w:w="1950" w:type="dxa"/>
            <w:tcBorders>
              <w:bottom w:val="single" w:sz="4" w:space="0" w:color="000000"/>
              <w:right w:val="single" w:sz="4" w:space="0" w:color="000000"/>
            </w:tcBorders>
            <w:vAlign w:val="bottom"/>
          </w:tcPr>
          <w:p w:rsidR="00764EB5" w:rsidRDefault="00DF13CC" w:rsidP="003D6B28">
            <w:pPr>
              <w:ind w:firstLine="0"/>
              <w:jc w:val="right"/>
              <w:rPr>
                <w:color w:val="auto"/>
                <w:sz w:val="24"/>
                <w:szCs w:val="24"/>
              </w:rPr>
            </w:pPr>
            <w:r>
              <w:rPr>
                <w:color w:val="auto"/>
                <w:sz w:val="24"/>
                <w:szCs w:val="24"/>
              </w:rPr>
              <w:t>0,342</w:t>
            </w:r>
          </w:p>
        </w:tc>
      </w:tr>
      <w:tr w:rsidR="00764EB5" w:rsidTr="007B644D">
        <w:trPr>
          <w:trHeight w:val="290"/>
          <w:jc w:val="center"/>
        </w:trPr>
        <w:tc>
          <w:tcPr>
            <w:tcW w:w="1211"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ind w:firstLine="0"/>
              <w:jc w:val="left"/>
              <w:rPr>
                <w:color w:val="auto"/>
                <w:sz w:val="24"/>
                <w:szCs w:val="24"/>
              </w:rPr>
            </w:pPr>
            <w:r>
              <w:rPr>
                <w:color w:val="auto"/>
                <w:sz w:val="24"/>
                <w:szCs w:val="24"/>
              </w:rPr>
              <w:t>YDM</w:t>
            </w:r>
          </w:p>
        </w:tc>
        <w:tc>
          <w:tcPr>
            <w:tcW w:w="1538" w:type="dxa"/>
            <w:tcBorders>
              <w:top w:val="single" w:sz="4" w:space="0" w:color="000000"/>
              <w:bottom w:val="single" w:sz="4" w:space="0" w:color="000000"/>
              <w:right w:val="single" w:sz="4" w:space="0" w:color="000000"/>
            </w:tcBorders>
            <w:vAlign w:val="bottom"/>
          </w:tcPr>
          <w:p w:rsidR="00764EB5" w:rsidRDefault="00DF13CC" w:rsidP="003D6B28">
            <w:pPr>
              <w:ind w:firstLine="0"/>
              <w:jc w:val="right"/>
              <w:rPr>
                <w:color w:val="auto"/>
                <w:sz w:val="24"/>
                <w:szCs w:val="24"/>
              </w:rPr>
            </w:pPr>
            <w:r>
              <w:rPr>
                <w:color w:val="auto"/>
                <w:sz w:val="24"/>
                <w:szCs w:val="24"/>
              </w:rPr>
              <w:t>0,457</w:t>
            </w:r>
          </w:p>
        </w:tc>
        <w:tc>
          <w:tcPr>
            <w:tcW w:w="1950" w:type="dxa"/>
            <w:tcBorders>
              <w:top w:val="single" w:sz="4" w:space="0" w:color="000000"/>
              <w:bottom w:val="single" w:sz="4" w:space="0" w:color="000000"/>
              <w:right w:val="single" w:sz="4" w:space="0" w:color="000000"/>
            </w:tcBorders>
            <w:vAlign w:val="bottom"/>
          </w:tcPr>
          <w:p w:rsidR="00764EB5" w:rsidRDefault="00DF13CC" w:rsidP="003D6B28">
            <w:pPr>
              <w:ind w:firstLine="0"/>
              <w:jc w:val="right"/>
              <w:rPr>
                <w:color w:val="auto"/>
                <w:sz w:val="24"/>
                <w:szCs w:val="24"/>
              </w:rPr>
            </w:pPr>
            <w:r>
              <w:rPr>
                <w:color w:val="auto"/>
                <w:sz w:val="24"/>
                <w:szCs w:val="24"/>
              </w:rPr>
              <w:t>0.,51</w:t>
            </w:r>
          </w:p>
        </w:tc>
      </w:tr>
    </w:tbl>
    <w:p w:rsidR="00764EB5" w:rsidRDefault="00DF13CC" w:rsidP="007B644D">
      <w:pPr>
        <w:spacing w:line="343" w:lineRule="auto"/>
        <w:jc w:val="right"/>
        <w:rPr>
          <w:i/>
          <w:iCs/>
          <w:color w:val="auto"/>
        </w:rPr>
      </w:pPr>
      <w:r>
        <w:rPr>
          <w:i/>
          <w:iCs/>
          <w:color w:val="auto"/>
        </w:rPr>
        <w:t>(Nguồn: Kết quả phân tích bằng phần mềm SmartPLS)</w:t>
      </w:r>
    </w:p>
    <w:p w:rsidR="00764EB5" w:rsidRDefault="00DF13CC" w:rsidP="007B644D">
      <w:pPr>
        <w:spacing w:line="343" w:lineRule="auto"/>
        <w:rPr>
          <w:color w:val="auto"/>
        </w:rPr>
      </w:pPr>
      <w:r>
        <w:rPr>
          <w:color w:val="auto"/>
        </w:rPr>
        <w:t>YDM có R² = 0,457 và R² hiệu chỉnh = 0,451. Như vậy, TD, CCQ, NTHV và GTCN giải thích khoảng 45,7% sự biến thiên của YDM. Chênh lệch rất nhỏ giữa R² và R² hiệu chỉnh cho thấy khả năng giải thích không suy giảm đáng kể khi điều chỉnh theo số lượng biến dự báo.</w:t>
      </w:r>
    </w:p>
    <w:p w:rsidR="00764EB5" w:rsidRDefault="00DF13CC" w:rsidP="007B644D">
      <w:pPr>
        <w:spacing w:line="343" w:lineRule="auto"/>
        <w:rPr>
          <w:color w:val="auto"/>
        </w:rPr>
      </w:pPr>
      <w:r>
        <w:rPr>
          <w:color w:val="auto"/>
        </w:rPr>
        <w:t>Mức giải thích 45,7% có ý nghĩa đáng kể đối với một hiện tượng hành vi phức tạp như Ý định mua căn hộ. Tuy nhiên, nó cũng cho thấy 54,3% sự biến thiên của YDM chưa được giải thích bởi bốn cấu trúc hiện tại.</w:t>
      </w:r>
    </w:p>
    <w:p w:rsidR="00764EB5" w:rsidRDefault="00DF13CC" w:rsidP="007B644D">
      <w:pPr>
        <w:spacing w:line="343" w:lineRule="auto"/>
        <w:rPr>
          <w:color w:val="auto"/>
        </w:rPr>
      </w:pPr>
      <w:r>
        <w:rPr>
          <w:color w:val="auto"/>
        </w:rPr>
        <w:t>Phần phương sai chưa giải thích không phải là một “sai số” theo nghĩa mô hình không phù hợp, mà phản ánh thực tế rằng hành vi mua bất động sản chịu ảnh hưởng của nhiều nhân tố khác. Các nghiên cứu tiếp theo có thể xem xét thêm kinh nghiệm mua, mức chấp nhận rủi ro, kỳ vọng biến động giá, niềm tin vào thị trường, đặc điểm sản phẩm hoặc các yếu tố cá nhân khác, nhưng luận án hiện tại không quy phần 54,3% còn lại cho bất kỳ yếu tố cụ thể nào khi chưa kiểm định.</w:t>
      </w:r>
    </w:p>
    <w:p w:rsidR="00764EB5" w:rsidRDefault="00DF13CC" w:rsidP="007B644D">
      <w:pPr>
        <w:spacing w:line="343" w:lineRule="auto"/>
        <w:rPr>
          <w:color w:val="auto"/>
        </w:rPr>
      </w:pPr>
      <w:r>
        <w:rPr>
          <w:color w:val="auto"/>
        </w:rPr>
        <w:t>QDM có R² = 0,344 và R² hiệu chỉnh = 0,342. Như vậy, YDM giải thích khoảng 34,4% sự biến thiên của mức độ sẵn sàng ra quyết định mua.</w:t>
      </w:r>
    </w:p>
    <w:p w:rsidR="00764EB5" w:rsidRDefault="00DF13CC" w:rsidP="007B644D">
      <w:pPr>
        <w:spacing w:line="343" w:lineRule="auto"/>
        <w:rPr>
          <w:color w:val="auto"/>
        </w:rPr>
      </w:pPr>
      <w:r>
        <w:rPr>
          <w:color w:val="auto"/>
        </w:rPr>
        <w:t>Kết quả này đặc biệt quan trọng khi được đặt cạnh β = 0,586 của YDM → QDM. YDM có quan hệ mạnh với QDM nhưng vẫn chỉ giải thích khoảng một phần ba biến thiên của QDM. Điều đó cho thấy ý định là một điều kiện quan trọng nhưng chưa đủ để quyết định một cá nhân đạt tới trạng thái sẵn sàng giao dịch.</w:t>
      </w:r>
    </w:p>
    <w:p w:rsidR="00764EB5" w:rsidRPr="007B644D" w:rsidRDefault="00DF13CC" w:rsidP="007B644D">
      <w:pPr>
        <w:spacing w:line="336" w:lineRule="auto"/>
        <w:rPr>
          <w:color w:val="auto"/>
          <w:spacing w:val="-2"/>
        </w:rPr>
      </w:pPr>
      <w:r w:rsidRPr="007B644D">
        <w:rPr>
          <w:color w:val="auto"/>
          <w:spacing w:val="-2"/>
        </w:rPr>
        <w:t>Khoảng 65,6% biến thiên của QDM nằm ngoài phần giải thích của YDM. Về mặt bối cảnh, những yếu tố như khả năng tài chính thực tế, điều kiện vay, mức giá tại thời điểm giao dịch, sản phẩm có sẵn, tiến độ pháp lý hoặc thay đổi hoàn cảnh gia đình có thể góp phần vào khoảng cách này. Đây là những cơ chế lý giải có tính hợp lý về mặt lý thuyết, nhưng chưa phải các biến đã được kiểm định trong phương trình QDM.</w:t>
      </w:r>
    </w:p>
    <w:p w:rsidR="00764EB5" w:rsidRDefault="00DF13CC" w:rsidP="007B644D">
      <w:pPr>
        <w:spacing w:line="336" w:lineRule="auto"/>
        <w:rPr>
          <w:color w:val="auto"/>
        </w:rPr>
      </w:pPr>
      <w:r>
        <w:rPr>
          <w:color w:val="auto"/>
        </w:rPr>
        <w:lastRenderedPageBreak/>
        <w:t>Chính kết quả này làm nổi bật giá trị của việc phân biệt YDM với QDM. Nếu hai khái niệm được sử dụng đồng nhất, luận án sẽ không nhận diện được khoảng cách giữa muốn mua và sẵn sàng tiến tới quyết định mua.</w:t>
      </w:r>
    </w:p>
    <w:p w:rsidR="00764EB5" w:rsidRDefault="00DF13CC" w:rsidP="00021C6B">
      <w:pPr>
        <w:pStyle w:val="Heading3"/>
      </w:pPr>
      <w:bookmarkStart w:id="542" w:name="_Toc234224143"/>
      <w:bookmarkStart w:id="543" w:name="_Toc241062483"/>
      <w:bookmarkStart w:id="544" w:name="_Toc241064418"/>
      <w:bookmarkStart w:id="545" w:name="_Toc241065351"/>
      <w:bookmarkStart w:id="546" w:name="_Toc241065569"/>
      <w:r>
        <w:t>(2) Kích thước ảnh hưởng (f²)</w:t>
      </w:r>
      <w:bookmarkEnd w:id="542"/>
      <w:bookmarkEnd w:id="543"/>
      <w:bookmarkEnd w:id="544"/>
      <w:bookmarkEnd w:id="545"/>
      <w:bookmarkEnd w:id="546"/>
    </w:p>
    <w:p w:rsidR="00764EB5" w:rsidRDefault="00DF13CC" w:rsidP="007B644D">
      <w:pPr>
        <w:spacing w:line="336" w:lineRule="auto"/>
        <w:rPr>
          <w:color w:val="auto"/>
        </w:rPr>
      </w:pPr>
      <w:r>
        <w:rPr>
          <w:color w:val="auto"/>
        </w:rPr>
        <w:t>Bên cạnh R², nghiên cứu tiếp tục đánh giá mức độ đóng góp của từng biến độc lập vào biến phụ thuộc thông qua chỉ số kích thước ảnh hưởng (f²). Chỉ số này cho phép xác định vai trò tương đối của từng yếu tố trong mô hình.</w:t>
      </w:r>
    </w:p>
    <w:p w:rsidR="006575F3" w:rsidRDefault="006575F3" w:rsidP="003D6B28">
      <w:pPr>
        <w:pStyle w:val="DMB"/>
      </w:pPr>
      <w:bookmarkStart w:id="547" w:name="__RefHeading___Toc7793_1147916741"/>
      <w:bookmarkStart w:id="548" w:name="_Toc226534672"/>
      <w:bookmarkStart w:id="549" w:name="_Toc238482032"/>
      <w:bookmarkEnd w:id="547"/>
      <w:bookmarkEnd w:id="548"/>
    </w:p>
    <w:p w:rsidR="00764EB5" w:rsidRDefault="00DF13CC" w:rsidP="006575F3">
      <w:pPr>
        <w:pStyle w:val="DMB"/>
        <w:outlineLvl w:val="0"/>
      </w:pPr>
      <w:bookmarkStart w:id="550" w:name="_Toc241064419"/>
      <w:bookmarkStart w:id="551" w:name="_Toc241065570"/>
      <w:r>
        <w:t>Bảng 4.10. Kích thước ảnh hưởng (f²)</w:t>
      </w:r>
      <w:bookmarkEnd w:id="549"/>
      <w:bookmarkEnd w:id="550"/>
      <w:bookmarkEnd w:id="551"/>
    </w:p>
    <w:tbl>
      <w:tblPr>
        <w:tblW w:w="5471" w:type="dxa"/>
        <w:jc w:val="center"/>
        <w:tblLayout w:type="fixed"/>
        <w:tblLook w:val="04A0" w:firstRow="1" w:lastRow="0" w:firstColumn="1" w:lastColumn="0" w:noHBand="0" w:noVBand="1"/>
      </w:tblPr>
      <w:tblGrid>
        <w:gridCol w:w="3329"/>
        <w:gridCol w:w="2142"/>
      </w:tblGrid>
      <w:tr w:rsidR="00764EB5">
        <w:trPr>
          <w:trHeight w:val="290"/>
          <w:jc w:val="center"/>
        </w:trPr>
        <w:tc>
          <w:tcPr>
            <w:tcW w:w="3329" w:type="dxa"/>
            <w:vAlign w:val="bottom"/>
          </w:tcPr>
          <w:p w:rsidR="00764EB5" w:rsidRDefault="00764EB5" w:rsidP="006575F3">
            <w:pPr>
              <w:spacing w:line="240" w:lineRule="auto"/>
              <w:ind w:firstLine="0"/>
              <w:jc w:val="left"/>
              <w:rPr>
                <w:color w:val="auto"/>
                <w:szCs w:val="26"/>
              </w:rPr>
            </w:pPr>
          </w:p>
        </w:tc>
        <w:tc>
          <w:tcPr>
            <w:tcW w:w="2142" w:type="dxa"/>
            <w:tcBorders>
              <w:top w:val="single" w:sz="4" w:space="0" w:color="000000"/>
              <w:left w:val="single" w:sz="4" w:space="0" w:color="000000"/>
              <w:bottom w:val="single" w:sz="4" w:space="0" w:color="000000"/>
              <w:right w:val="single" w:sz="4" w:space="0" w:color="000000"/>
            </w:tcBorders>
            <w:vAlign w:val="bottom"/>
          </w:tcPr>
          <w:p w:rsidR="00764EB5" w:rsidRDefault="00DF13CC" w:rsidP="006575F3">
            <w:pPr>
              <w:spacing w:line="240" w:lineRule="auto"/>
              <w:ind w:firstLine="0"/>
              <w:jc w:val="center"/>
              <w:rPr>
                <w:color w:val="auto"/>
                <w:szCs w:val="26"/>
              </w:rPr>
            </w:pPr>
            <w:r>
              <w:rPr>
                <w:color w:val="auto"/>
                <w:szCs w:val="26"/>
              </w:rPr>
              <w:t>f-square</w:t>
            </w:r>
          </w:p>
        </w:tc>
      </w:tr>
      <w:tr w:rsidR="00764EB5">
        <w:trPr>
          <w:trHeight w:val="290"/>
          <w:jc w:val="center"/>
        </w:trPr>
        <w:tc>
          <w:tcPr>
            <w:tcW w:w="3329" w:type="dxa"/>
            <w:tcBorders>
              <w:top w:val="single" w:sz="4" w:space="0" w:color="000000"/>
              <w:left w:val="single" w:sz="4" w:space="0" w:color="000000"/>
              <w:bottom w:val="single" w:sz="4" w:space="0" w:color="000000"/>
              <w:right w:val="single" w:sz="4" w:space="0" w:color="000000"/>
            </w:tcBorders>
            <w:vAlign w:val="bottom"/>
          </w:tcPr>
          <w:p w:rsidR="00764EB5" w:rsidRDefault="00DF13CC" w:rsidP="006575F3">
            <w:pPr>
              <w:spacing w:line="240" w:lineRule="auto"/>
              <w:ind w:firstLine="0"/>
              <w:jc w:val="left"/>
              <w:rPr>
                <w:color w:val="auto"/>
                <w:szCs w:val="26"/>
              </w:rPr>
            </w:pPr>
            <w:r>
              <w:rPr>
                <w:color w:val="auto"/>
                <w:szCs w:val="26"/>
              </w:rPr>
              <w:t>CCQ -&gt; YDM</w:t>
            </w:r>
          </w:p>
        </w:tc>
        <w:tc>
          <w:tcPr>
            <w:tcW w:w="2142" w:type="dxa"/>
            <w:tcBorders>
              <w:bottom w:val="single" w:sz="4" w:space="0" w:color="000000"/>
              <w:right w:val="single" w:sz="4" w:space="0" w:color="000000"/>
            </w:tcBorders>
            <w:vAlign w:val="bottom"/>
          </w:tcPr>
          <w:p w:rsidR="00764EB5" w:rsidRDefault="00DF13CC" w:rsidP="006575F3">
            <w:pPr>
              <w:spacing w:line="240" w:lineRule="auto"/>
              <w:ind w:firstLine="0"/>
              <w:jc w:val="center"/>
              <w:rPr>
                <w:color w:val="auto"/>
                <w:szCs w:val="26"/>
              </w:rPr>
            </w:pPr>
            <w:r>
              <w:rPr>
                <w:color w:val="auto"/>
                <w:szCs w:val="26"/>
              </w:rPr>
              <w:t>0,154</w:t>
            </w:r>
          </w:p>
        </w:tc>
      </w:tr>
      <w:tr w:rsidR="00764EB5">
        <w:trPr>
          <w:trHeight w:val="290"/>
          <w:jc w:val="center"/>
        </w:trPr>
        <w:tc>
          <w:tcPr>
            <w:tcW w:w="3329" w:type="dxa"/>
            <w:tcBorders>
              <w:left w:val="single" w:sz="4" w:space="0" w:color="000000"/>
              <w:bottom w:val="single" w:sz="4" w:space="0" w:color="000000"/>
              <w:right w:val="single" w:sz="4" w:space="0" w:color="000000"/>
            </w:tcBorders>
            <w:vAlign w:val="bottom"/>
          </w:tcPr>
          <w:p w:rsidR="00764EB5" w:rsidRDefault="00DF13CC" w:rsidP="006575F3">
            <w:pPr>
              <w:spacing w:line="240" w:lineRule="auto"/>
              <w:ind w:firstLine="0"/>
              <w:jc w:val="left"/>
              <w:rPr>
                <w:color w:val="auto"/>
                <w:szCs w:val="26"/>
              </w:rPr>
            </w:pPr>
            <w:r>
              <w:rPr>
                <w:color w:val="auto"/>
                <w:szCs w:val="26"/>
              </w:rPr>
              <w:t>GTCN -&gt; YDM</w:t>
            </w:r>
          </w:p>
        </w:tc>
        <w:tc>
          <w:tcPr>
            <w:tcW w:w="2142" w:type="dxa"/>
            <w:tcBorders>
              <w:bottom w:val="single" w:sz="4" w:space="0" w:color="000000"/>
              <w:right w:val="single" w:sz="4" w:space="0" w:color="000000"/>
            </w:tcBorders>
            <w:vAlign w:val="bottom"/>
          </w:tcPr>
          <w:p w:rsidR="00764EB5" w:rsidRDefault="00DF13CC" w:rsidP="006575F3">
            <w:pPr>
              <w:spacing w:line="240" w:lineRule="auto"/>
              <w:ind w:firstLine="0"/>
              <w:jc w:val="center"/>
              <w:rPr>
                <w:color w:val="auto"/>
                <w:szCs w:val="26"/>
              </w:rPr>
            </w:pPr>
            <w:r>
              <w:rPr>
                <w:color w:val="auto"/>
                <w:szCs w:val="26"/>
              </w:rPr>
              <w:t>0,135</w:t>
            </w:r>
          </w:p>
        </w:tc>
      </w:tr>
      <w:tr w:rsidR="00764EB5">
        <w:trPr>
          <w:trHeight w:val="290"/>
          <w:jc w:val="center"/>
        </w:trPr>
        <w:tc>
          <w:tcPr>
            <w:tcW w:w="3329" w:type="dxa"/>
            <w:tcBorders>
              <w:left w:val="single" w:sz="4" w:space="0" w:color="000000"/>
              <w:bottom w:val="single" w:sz="4" w:space="0" w:color="000000"/>
              <w:right w:val="single" w:sz="4" w:space="0" w:color="000000"/>
            </w:tcBorders>
            <w:vAlign w:val="bottom"/>
          </w:tcPr>
          <w:p w:rsidR="00764EB5" w:rsidRDefault="00DF13CC" w:rsidP="006575F3">
            <w:pPr>
              <w:spacing w:line="240" w:lineRule="auto"/>
              <w:ind w:firstLine="0"/>
              <w:jc w:val="left"/>
              <w:rPr>
                <w:color w:val="auto"/>
                <w:szCs w:val="26"/>
              </w:rPr>
            </w:pPr>
            <w:r>
              <w:rPr>
                <w:color w:val="auto"/>
                <w:szCs w:val="26"/>
              </w:rPr>
              <w:t>NTHV -&gt; YDM</w:t>
            </w:r>
          </w:p>
        </w:tc>
        <w:tc>
          <w:tcPr>
            <w:tcW w:w="2142" w:type="dxa"/>
            <w:tcBorders>
              <w:bottom w:val="single" w:sz="4" w:space="0" w:color="000000"/>
              <w:right w:val="single" w:sz="4" w:space="0" w:color="000000"/>
            </w:tcBorders>
            <w:vAlign w:val="bottom"/>
          </w:tcPr>
          <w:p w:rsidR="00764EB5" w:rsidRDefault="00DF13CC" w:rsidP="006575F3">
            <w:pPr>
              <w:spacing w:line="240" w:lineRule="auto"/>
              <w:ind w:firstLine="0"/>
              <w:jc w:val="center"/>
              <w:rPr>
                <w:color w:val="auto"/>
                <w:szCs w:val="26"/>
              </w:rPr>
            </w:pPr>
            <w:r>
              <w:rPr>
                <w:color w:val="auto"/>
                <w:szCs w:val="26"/>
              </w:rPr>
              <w:t>0,033</w:t>
            </w:r>
          </w:p>
        </w:tc>
      </w:tr>
      <w:tr w:rsidR="00764EB5">
        <w:trPr>
          <w:trHeight w:val="290"/>
          <w:jc w:val="center"/>
        </w:trPr>
        <w:tc>
          <w:tcPr>
            <w:tcW w:w="3329" w:type="dxa"/>
            <w:tcBorders>
              <w:left w:val="single" w:sz="4" w:space="0" w:color="000000"/>
              <w:bottom w:val="single" w:sz="4" w:space="0" w:color="000000"/>
              <w:right w:val="single" w:sz="4" w:space="0" w:color="000000"/>
            </w:tcBorders>
            <w:vAlign w:val="bottom"/>
          </w:tcPr>
          <w:p w:rsidR="00764EB5" w:rsidRDefault="00DF13CC" w:rsidP="006575F3">
            <w:pPr>
              <w:spacing w:line="240" w:lineRule="auto"/>
              <w:ind w:firstLine="0"/>
              <w:jc w:val="left"/>
              <w:rPr>
                <w:color w:val="auto"/>
                <w:szCs w:val="26"/>
              </w:rPr>
            </w:pPr>
            <w:r>
              <w:rPr>
                <w:color w:val="auto"/>
                <w:szCs w:val="26"/>
              </w:rPr>
              <w:t>TD -&gt; YDM</w:t>
            </w:r>
          </w:p>
        </w:tc>
        <w:tc>
          <w:tcPr>
            <w:tcW w:w="2142" w:type="dxa"/>
            <w:tcBorders>
              <w:bottom w:val="single" w:sz="4" w:space="0" w:color="000000"/>
              <w:right w:val="single" w:sz="4" w:space="0" w:color="000000"/>
            </w:tcBorders>
            <w:vAlign w:val="bottom"/>
          </w:tcPr>
          <w:p w:rsidR="00764EB5" w:rsidRDefault="00DF13CC" w:rsidP="006575F3">
            <w:pPr>
              <w:spacing w:line="240" w:lineRule="auto"/>
              <w:ind w:firstLine="0"/>
              <w:jc w:val="center"/>
              <w:rPr>
                <w:color w:val="auto"/>
                <w:szCs w:val="26"/>
              </w:rPr>
            </w:pPr>
            <w:r>
              <w:rPr>
                <w:color w:val="auto"/>
                <w:szCs w:val="26"/>
              </w:rPr>
              <w:t>0,119</w:t>
            </w:r>
          </w:p>
        </w:tc>
      </w:tr>
      <w:tr w:rsidR="00764EB5">
        <w:trPr>
          <w:trHeight w:val="290"/>
          <w:jc w:val="center"/>
        </w:trPr>
        <w:tc>
          <w:tcPr>
            <w:tcW w:w="3329" w:type="dxa"/>
            <w:tcBorders>
              <w:left w:val="single" w:sz="4" w:space="0" w:color="000000"/>
              <w:bottom w:val="single" w:sz="4" w:space="0" w:color="000000"/>
              <w:right w:val="single" w:sz="4" w:space="0" w:color="000000"/>
            </w:tcBorders>
            <w:vAlign w:val="bottom"/>
          </w:tcPr>
          <w:p w:rsidR="00764EB5" w:rsidRDefault="00DF13CC" w:rsidP="006575F3">
            <w:pPr>
              <w:spacing w:line="240" w:lineRule="auto"/>
              <w:ind w:firstLine="0"/>
              <w:jc w:val="left"/>
              <w:rPr>
                <w:color w:val="auto"/>
                <w:szCs w:val="26"/>
              </w:rPr>
            </w:pPr>
            <w:r>
              <w:rPr>
                <w:color w:val="auto"/>
                <w:szCs w:val="26"/>
              </w:rPr>
              <w:t>YDM -&gt; QDM</w:t>
            </w:r>
          </w:p>
        </w:tc>
        <w:tc>
          <w:tcPr>
            <w:tcW w:w="2142" w:type="dxa"/>
            <w:tcBorders>
              <w:bottom w:val="single" w:sz="4" w:space="0" w:color="000000"/>
              <w:right w:val="single" w:sz="4" w:space="0" w:color="000000"/>
            </w:tcBorders>
            <w:vAlign w:val="bottom"/>
          </w:tcPr>
          <w:p w:rsidR="00764EB5" w:rsidRDefault="00DF13CC" w:rsidP="006575F3">
            <w:pPr>
              <w:spacing w:line="240" w:lineRule="auto"/>
              <w:ind w:firstLine="0"/>
              <w:jc w:val="center"/>
              <w:rPr>
                <w:color w:val="auto"/>
                <w:szCs w:val="26"/>
              </w:rPr>
            </w:pPr>
            <w:r>
              <w:rPr>
                <w:color w:val="auto"/>
                <w:szCs w:val="26"/>
              </w:rPr>
              <w:t>0,523</w:t>
            </w:r>
          </w:p>
        </w:tc>
      </w:tr>
    </w:tbl>
    <w:p w:rsidR="00764EB5" w:rsidRDefault="00DF13CC" w:rsidP="003D6B28">
      <w:pPr>
        <w:jc w:val="right"/>
        <w:rPr>
          <w:i/>
          <w:iCs/>
          <w:color w:val="auto"/>
        </w:rPr>
      </w:pPr>
      <w:r>
        <w:rPr>
          <w:i/>
          <w:iCs/>
          <w:color w:val="auto"/>
        </w:rPr>
        <w:t>(Nguồn: Kết quả phân tích bằng phần mềm SmartPLS)</w:t>
      </w:r>
    </w:p>
    <w:p w:rsidR="00764EB5" w:rsidRDefault="00DF13CC" w:rsidP="007B644D">
      <w:pPr>
        <w:spacing w:line="336" w:lineRule="auto"/>
        <w:rPr>
          <w:color w:val="auto"/>
        </w:rPr>
      </w:pPr>
      <w:r>
        <w:rPr>
          <w:color w:val="auto"/>
        </w:rPr>
        <w:t>Kết quả phân tích cho thấy:</w:t>
      </w:r>
    </w:p>
    <w:p w:rsidR="00764EB5" w:rsidRDefault="00DF13CC" w:rsidP="007B644D">
      <w:pPr>
        <w:spacing w:line="336" w:lineRule="auto"/>
        <w:rPr>
          <w:color w:val="auto"/>
        </w:rPr>
      </w:pPr>
      <w:r>
        <w:rPr>
          <w:color w:val="auto"/>
        </w:rPr>
        <w:t>Kết quả cho thấy CCQ → YDM có f² = 0,154; GTCN → YDM = 0,135; TD → YDM = 0,119; NTHV → YDM = 0,033; YDM → QDM = 0,523.</w:t>
      </w:r>
    </w:p>
    <w:p w:rsidR="00764EB5" w:rsidRDefault="00DF13CC" w:rsidP="007B644D">
      <w:pPr>
        <w:spacing w:line="336" w:lineRule="auto"/>
        <w:rPr>
          <w:color w:val="auto"/>
        </w:rPr>
      </w:pPr>
      <w:r>
        <w:rPr>
          <w:color w:val="auto"/>
        </w:rPr>
        <w:t>CCQ đạt f² = 0,154, xấp xỉ mức ảnh hưởng trung bình theo các ngưỡng tham khảo thường được sử dụng từ Cohen (1988). Đây là một kết quả đáng chú ý bởi CCQ không có β cao nhất nhưng tạo ra mức đóng góp riêng vào khả năng giải thích YDM lớn nhất trong bốn biến tiền đề.</w:t>
      </w:r>
    </w:p>
    <w:p w:rsidR="007B644D" w:rsidRDefault="00DF13CC" w:rsidP="007B644D">
      <w:pPr>
        <w:spacing w:line="336" w:lineRule="auto"/>
        <w:rPr>
          <w:color w:val="auto"/>
        </w:rPr>
      </w:pPr>
      <w:r>
        <w:rPr>
          <w:color w:val="auto"/>
        </w:rPr>
        <w:t>GTCN có f² = 0,135, thấp hơn ngưỡng 0,15 nhưng tương đối gần mức này. Kết quả cho thấy GTCN có đóng góp đáng kể vào việc giải thích YDM, song không nên mô tả là có kích thước ảnh hưởng lớn.</w:t>
      </w:r>
    </w:p>
    <w:p w:rsidR="00764EB5" w:rsidRDefault="00DF13CC" w:rsidP="007B644D">
      <w:pPr>
        <w:rPr>
          <w:color w:val="auto"/>
        </w:rPr>
      </w:pPr>
      <w:r>
        <w:rPr>
          <w:color w:val="auto"/>
        </w:rPr>
        <w:t>TD có f² = 0,119, cho thấy mức đóng góp riêng nhỏ nhưng có ý nghĩa thực tiễn. NTHV có f² = 0,033, thấp hơn các biến còn lại, phản ánh phần đóng góp riêng tương đối hạn chế đối với YDM trong cấu trúc mô hình hiện tại.</w:t>
      </w:r>
    </w:p>
    <w:p w:rsidR="00764EB5" w:rsidRDefault="00DF13CC" w:rsidP="007B644D">
      <w:pPr>
        <w:spacing w:line="336" w:lineRule="auto"/>
        <w:rPr>
          <w:color w:val="auto"/>
        </w:rPr>
      </w:pPr>
      <w:r w:rsidRPr="007B644D">
        <w:rPr>
          <w:color w:val="auto"/>
          <w:spacing w:val="-2"/>
        </w:rPr>
        <w:t>Sự khác nhau giữa kết quả β và f² đặc biệt đáng lưu ý. Xét β, GTCN = 0,303 cao hơn CCQ = 0,300. Xét f², CCQ = 0,154 lại cao hơn GTCN = 0,135. Do đó, không có cơ sở</w:t>
      </w:r>
      <w:r>
        <w:rPr>
          <w:color w:val="auto"/>
        </w:rPr>
        <w:t xml:space="preserve"> vững chắc để khẳng định một trong hai yếu tố là “mạnh nhất” theo mọi tiêu chí.</w:t>
      </w:r>
    </w:p>
    <w:p w:rsidR="00764EB5" w:rsidRDefault="00DF13CC" w:rsidP="007B644D">
      <w:pPr>
        <w:spacing w:line="336" w:lineRule="auto"/>
        <w:rPr>
          <w:color w:val="auto"/>
        </w:rPr>
      </w:pPr>
      <w:r>
        <w:rPr>
          <w:color w:val="auto"/>
        </w:rPr>
        <w:lastRenderedPageBreak/>
        <w:t>Kết luận phù hợp hơn là GTCN và CCQ đại diện cho hai nguồn ảnh hưởng đáng chú ý và tương đối gần nhau nhưng theo hai cơ chế khác nhau: GTCN là cơ chế đánh giá giá trị sản phẩm; CCQ là cơ chế ảnh hưởng xã hội.</w:t>
      </w:r>
    </w:p>
    <w:p w:rsidR="00764EB5" w:rsidRDefault="00DF13CC" w:rsidP="007B644D">
      <w:pPr>
        <w:spacing w:line="336" w:lineRule="auto"/>
        <w:rPr>
          <w:color w:val="auto"/>
        </w:rPr>
      </w:pPr>
      <w:r>
        <w:rPr>
          <w:color w:val="auto"/>
        </w:rPr>
        <w:t>YDM → QDM có f² = 0,523, vượt khá xa ngưỡng 0,35 thường được sử dụng để nhận diện kích thước ảnh hưởng lớn. Kết quả này củng cố vai trò trung tâm của YDM trong mô hình và cho thấy nếu loại YDM khỏi phương trình QDM thì khả năng giải thích của mô hình sẽ suy giảm đáng kể.</w:t>
      </w:r>
    </w:p>
    <w:p w:rsidR="00764EB5" w:rsidRDefault="00DF13CC" w:rsidP="007B644D">
      <w:pPr>
        <w:spacing w:line="336" w:lineRule="auto"/>
        <w:rPr>
          <w:color w:val="auto"/>
        </w:rPr>
      </w:pPr>
      <w:r>
        <w:rPr>
          <w:color w:val="auto"/>
        </w:rPr>
        <w:t>Như vậy, kết quả f² làm rõ một cấu trúc quan trọng: các yếu tố tiền đề đóng góp từ nhỏ đến xấp xỉ trung bình vào việc hình thành YDM, trong khi YDM tạo ra một ảnh hưởng lớn đối với QDM.</w:t>
      </w:r>
    </w:p>
    <w:p w:rsidR="00764EB5" w:rsidRDefault="00DF13CC" w:rsidP="00021C6B">
      <w:pPr>
        <w:pStyle w:val="Heading3"/>
      </w:pPr>
      <w:bookmarkStart w:id="552" w:name="_Toc234224144"/>
      <w:bookmarkStart w:id="553" w:name="_Toc241062484"/>
      <w:bookmarkStart w:id="554" w:name="_Toc241064420"/>
      <w:bookmarkStart w:id="555" w:name="_Toc241065353"/>
      <w:bookmarkStart w:id="556" w:name="_Toc241065571"/>
      <w:bookmarkEnd w:id="552"/>
      <w:r>
        <w:t>(3) Mức liên quan dự báo của mô hình (Q²)</w:t>
      </w:r>
      <w:bookmarkEnd w:id="553"/>
      <w:bookmarkEnd w:id="554"/>
      <w:bookmarkEnd w:id="555"/>
      <w:bookmarkEnd w:id="556"/>
    </w:p>
    <w:p w:rsidR="00764EB5" w:rsidRDefault="00DF13CC" w:rsidP="007B644D">
      <w:pPr>
        <w:spacing w:line="336" w:lineRule="auto"/>
        <w:rPr>
          <w:color w:val="auto"/>
        </w:rPr>
      </w:pPr>
      <w:r>
        <w:rPr>
          <w:color w:val="auto"/>
        </w:rPr>
        <w:t>Để đánh giá mức liên quan dự báo (predictive relevance) của các cấu trúc nội sinh trong mô hình, nghiên cứu sử dụng chỉ số Q² thông qua kỹ thuật blindfolding trên SmartPLS. Theo hướng dẫn PLS-SEM, Q² &gt; 0 cho thấy mô hình có mức liên quan dự báo đối với cấu trúc nội sinh tương ứng trong phạm vi dữ liệu và quy trình blindfolding; chỉ số này không đồng nhất với đánh giá hiệu năng dự báo ngoài mẫu (Hair et al., 2022; Shmueli et al., 2019).</w:t>
      </w:r>
    </w:p>
    <w:p w:rsidR="00764EB5" w:rsidRDefault="00DF13CC" w:rsidP="006575F3">
      <w:pPr>
        <w:pStyle w:val="DMB"/>
        <w:outlineLvl w:val="0"/>
      </w:pPr>
      <w:bookmarkStart w:id="557" w:name="__RefHeading___Toc7791_1147916741"/>
      <w:bookmarkStart w:id="558" w:name="_Toc226534673"/>
      <w:bookmarkStart w:id="559" w:name="_Toc238482033"/>
      <w:bookmarkStart w:id="560" w:name="_Toc241064421"/>
      <w:bookmarkStart w:id="561" w:name="_Toc241065572"/>
      <w:bookmarkEnd w:id="557"/>
      <w:bookmarkEnd w:id="558"/>
      <w:r>
        <w:t>Bảng 4.11. Giá trị Q²</w:t>
      </w:r>
      <w:bookmarkEnd w:id="559"/>
      <w:bookmarkEnd w:id="560"/>
      <w:bookmarkEnd w:id="561"/>
    </w:p>
    <w:tbl>
      <w:tblPr>
        <w:tblW w:w="5402" w:type="dxa"/>
        <w:jc w:val="center"/>
        <w:tblLayout w:type="fixed"/>
        <w:tblLook w:val="04A0" w:firstRow="1" w:lastRow="0" w:firstColumn="1" w:lastColumn="0" w:noHBand="0" w:noVBand="1"/>
      </w:tblPr>
      <w:tblGrid>
        <w:gridCol w:w="939"/>
        <w:gridCol w:w="1192"/>
        <w:gridCol w:w="1191"/>
        <w:gridCol w:w="2080"/>
      </w:tblGrid>
      <w:tr w:rsidR="00764EB5">
        <w:trPr>
          <w:trHeight w:val="290"/>
          <w:jc w:val="center"/>
        </w:trPr>
        <w:tc>
          <w:tcPr>
            <w:tcW w:w="938" w:type="dxa"/>
            <w:vAlign w:val="bottom"/>
          </w:tcPr>
          <w:p w:rsidR="00764EB5" w:rsidRDefault="00764EB5" w:rsidP="003D6B28">
            <w:pPr>
              <w:ind w:firstLine="0"/>
              <w:jc w:val="left"/>
              <w:rPr>
                <w:color w:val="auto"/>
                <w:szCs w:val="24"/>
              </w:rPr>
            </w:pPr>
          </w:p>
        </w:tc>
        <w:tc>
          <w:tcPr>
            <w:tcW w:w="1192"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SSO</w:t>
            </w:r>
          </w:p>
        </w:tc>
        <w:tc>
          <w:tcPr>
            <w:tcW w:w="1191" w:type="dxa"/>
            <w:tcBorders>
              <w:top w:val="single" w:sz="4" w:space="0" w:color="000000"/>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SSE</w:t>
            </w:r>
          </w:p>
        </w:tc>
        <w:tc>
          <w:tcPr>
            <w:tcW w:w="2080" w:type="dxa"/>
            <w:tcBorders>
              <w:top w:val="single" w:sz="4" w:space="0" w:color="000000"/>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Q² (=1-SSE/SSO)</w:t>
            </w:r>
          </w:p>
        </w:tc>
      </w:tr>
      <w:tr w:rsidR="00764EB5">
        <w:trPr>
          <w:trHeight w:val="290"/>
          <w:jc w:val="center"/>
        </w:trPr>
        <w:tc>
          <w:tcPr>
            <w:tcW w:w="938"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ind w:firstLine="0"/>
              <w:jc w:val="left"/>
              <w:rPr>
                <w:color w:val="auto"/>
                <w:szCs w:val="24"/>
              </w:rPr>
            </w:pPr>
            <w:r>
              <w:rPr>
                <w:color w:val="auto"/>
                <w:szCs w:val="24"/>
              </w:rPr>
              <w:t>CCQ</w:t>
            </w:r>
          </w:p>
        </w:tc>
        <w:tc>
          <w:tcPr>
            <w:tcW w:w="1192"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2166.000</w:t>
            </w:r>
          </w:p>
        </w:tc>
        <w:tc>
          <w:tcPr>
            <w:tcW w:w="1191"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2166.000</w:t>
            </w:r>
          </w:p>
        </w:tc>
        <w:tc>
          <w:tcPr>
            <w:tcW w:w="2080"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0,000</w:t>
            </w:r>
          </w:p>
        </w:tc>
      </w:tr>
      <w:tr w:rsidR="00764EB5">
        <w:trPr>
          <w:trHeight w:val="290"/>
          <w:jc w:val="center"/>
        </w:trPr>
        <w:tc>
          <w:tcPr>
            <w:tcW w:w="938" w:type="dxa"/>
            <w:tcBorders>
              <w:left w:val="single" w:sz="4" w:space="0" w:color="000000"/>
              <w:bottom w:val="single" w:sz="4" w:space="0" w:color="000000"/>
              <w:right w:val="single" w:sz="4" w:space="0" w:color="000000"/>
            </w:tcBorders>
            <w:vAlign w:val="bottom"/>
          </w:tcPr>
          <w:p w:rsidR="00764EB5" w:rsidRDefault="00DF13CC" w:rsidP="003D6B28">
            <w:pPr>
              <w:ind w:firstLine="0"/>
              <w:jc w:val="left"/>
              <w:rPr>
                <w:color w:val="auto"/>
                <w:szCs w:val="24"/>
              </w:rPr>
            </w:pPr>
            <w:r>
              <w:rPr>
                <w:color w:val="auto"/>
                <w:szCs w:val="24"/>
              </w:rPr>
              <w:t>GTCN</w:t>
            </w:r>
          </w:p>
        </w:tc>
        <w:tc>
          <w:tcPr>
            <w:tcW w:w="1192"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1805.000</w:t>
            </w:r>
          </w:p>
        </w:tc>
        <w:tc>
          <w:tcPr>
            <w:tcW w:w="1191"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1805.000</w:t>
            </w:r>
          </w:p>
        </w:tc>
        <w:tc>
          <w:tcPr>
            <w:tcW w:w="2080"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0,000</w:t>
            </w:r>
          </w:p>
        </w:tc>
      </w:tr>
      <w:tr w:rsidR="00764EB5">
        <w:trPr>
          <w:trHeight w:val="290"/>
          <w:jc w:val="center"/>
        </w:trPr>
        <w:tc>
          <w:tcPr>
            <w:tcW w:w="938" w:type="dxa"/>
            <w:tcBorders>
              <w:left w:val="single" w:sz="4" w:space="0" w:color="000000"/>
              <w:bottom w:val="single" w:sz="4" w:space="0" w:color="000000"/>
              <w:right w:val="single" w:sz="4" w:space="0" w:color="000000"/>
            </w:tcBorders>
            <w:vAlign w:val="bottom"/>
          </w:tcPr>
          <w:p w:rsidR="00764EB5" w:rsidRDefault="00DF13CC" w:rsidP="003D6B28">
            <w:pPr>
              <w:ind w:firstLine="0"/>
              <w:jc w:val="left"/>
              <w:rPr>
                <w:color w:val="auto"/>
                <w:szCs w:val="24"/>
              </w:rPr>
            </w:pPr>
            <w:r>
              <w:rPr>
                <w:color w:val="auto"/>
                <w:szCs w:val="24"/>
              </w:rPr>
              <w:t>NTHV</w:t>
            </w:r>
          </w:p>
        </w:tc>
        <w:tc>
          <w:tcPr>
            <w:tcW w:w="1192"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1083.000</w:t>
            </w:r>
          </w:p>
        </w:tc>
        <w:tc>
          <w:tcPr>
            <w:tcW w:w="1191"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1083.000</w:t>
            </w:r>
          </w:p>
        </w:tc>
        <w:tc>
          <w:tcPr>
            <w:tcW w:w="2080"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0,000</w:t>
            </w:r>
          </w:p>
        </w:tc>
      </w:tr>
      <w:tr w:rsidR="00764EB5">
        <w:trPr>
          <w:trHeight w:val="290"/>
          <w:jc w:val="center"/>
        </w:trPr>
        <w:tc>
          <w:tcPr>
            <w:tcW w:w="938" w:type="dxa"/>
            <w:tcBorders>
              <w:left w:val="single" w:sz="4" w:space="0" w:color="000000"/>
              <w:bottom w:val="single" w:sz="4" w:space="0" w:color="000000"/>
              <w:right w:val="single" w:sz="4" w:space="0" w:color="000000"/>
            </w:tcBorders>
            <w:vAlign w:val="bottom"/>
          </w:tcPr>
          <w:p w:rsidR="00764EB5" w:rsidRDefault="00DF13CC" w:rsidP="003D6B28">
            <w:pPr>
              <w:ind w:firstLine="0"/>
              <w:jc w:val="left"/>
              <w:rPr>
                <w:color w:val="auto"/>
                <w:szCs w:val="24"/>
              </w:rPr>
            </w:pPr>
            <w:r>
              <w:rPr>
                <w:color w:val="auto"/>
                <w:szCs w:val="24"/>
              </w:rPr>
              <w:t>QDM</w:t>
            </w:r>
          </w:p>
        </w:tc>
        <w:tc>
          <w:tcPr>
            <w:tcW w:w="1192"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2166.000</w:t>
            </w:r>
          </w:p>
        </w:tc>
        <w:tc>
          <w:tcPr>
            <w:tcW w:w="1191"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1676.395</w:t>
            </w:r>
          </w:p>
        </w:tc>
        <w:tc>
          <w:tcPr>
            <w:tcW w:w="2080"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0,356</w:t>
            </w:r>
          </w:p>
        </w:tc>
      </w:tr>
      <w:tr w:rsidR="00764EB5">
        <w:trPr>
          <w:trHeight w:val="290"/>
          <w:jc w:val="center"/>
        </w:trPr>
        <w:tc>
          <w:tcPr>
            <w:tcW w:w="938" w:type="dxa"/>
            <w:tcBorders>
              <w:left w:val="single" w:sz="4" w:space="0" w:color="000000"/>
              <w:bottom w:val="single" w:sz="4" w:space="0" w:color="000000"/>
              <w:right w:val="single" w:sz="4" w:space="0" w:color="000000"/>
            </w:tcBorders>
            <w:vAlign w:val="bottom"/>
          </w:tcPr>
          <w:p w:rsidR="00764EB5" w:rsidRDefault="00DF13CC" w:rsidP="003D6B28">
            <w:pPr>
              <w:ind w:firstLine="0"/>
              <w:jc w:val="left"/>
              <w:rPr>
                <w:color w:val="auto"/>
                <w:szCs w:val="24"/>
              </w:rPr>
            </w:pPr>
            <w:r>
              <w:rPr>
                <w:color w:val="auto"/>
                <w:szCs w:val="24"/>
              </w:rPr>
              <w:t>TD</w:t>
            </w:r>
          </w:p>
        </w:tc>
        <w:tc>
          <w:tcPr>
            <w:tcW w:w="1192"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1805.000</w:t>
            </w:r>
          </w:p>
        </w:tc>
        <w:tc>
          <w:tcPr>
            <w:tcW w:w="1191"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1805.000</w:t>
            </w:r>
          </w:p>
        </w:tc>
        <w:tc>
          <w:tcPr>
            <w:tcW w:w="2080"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0,000</w:t>
            </w:r>
          </w:p>
        </w:tc>
      </w:tr>
      <w:tr w:rsidR="00764EB5">
        <w:trPr>
          <w:trHeight w:val="290"/>
          <w:jc w:val="center"/>
        </w:trPr>
        <w:tc>
          <w:tcPr>
            <w:tcW w:w="938" w:type="dxa"/>
            <w:tcBorders>
              <w:left w:val="single" w:sz="4" w:space="0" w:color="000000"/>
              <w:bottom w:val="single" w:sz="4" w:space="0" w:color="000000"/>
              <w:right w:val="single" w:sz="4" w:space="0" w:color="000000"/>
            </w:tcBorders>
            <w:vAlign w:val="bottom"/>
          </w:tcPr>
          <w:p w:rsidR="00764EB5" w:rsidRDefault="00DF13CC" w:rsidP="003D6B28">
            <w:pPr>
              <w:ind w:firstLine="0"/>
              <w:jc w:val="left"/>
              <w:rPr>
                <w:color w:val="auto"/>
                <w:szCs w:val="24"/>
              </w:rPr>
            </w:pPr>
            <w:r>
              <w:rPr>
                <w:color w:val="auto"/>
                <w:szCs w:val="24"/>
              </w:rPr>
              <w:t>YDM</w:t>
            </w:r>
          </w:p>
        </w:tc>
        <w:tc>
          <w:tcPr>
            <w:tcW w:w="1192"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2166.000</w:t>
            </w:r>
          </w:p>
        </w:tc>
        <w:tc>
          <w:tcPr>
            <w:tcW w:w="1191"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1582.866</w:t>
            </w:r>
          </w:p>
        </w:tc>
        <w:tc>
          <w:tcPr>
            <w:tcW w:w="2080"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0,369</w:t>
            </w:r>
          </w:p>
        </w:tc>
      </w:tr>
    </w:tbl>
    <w:p w:rsidR="00764EB5" w:rsidRDefault="00DF13CC" w:rsidP="003D6B28">
      <w:pPr>
        <w:jc w:val="right"/>
        <w:rPr>
          <w:i/>
          <w:iCs/>
          <w:color w:val="auto"/>
        </w:rPr>
      </w:pPr>
      <w:r>
        <w:rPr>
          <w:i/>
          <w:iCs/>
          <w:color w:val="auto"/>
        </w:rPr>
        <w:t>(Nguồn: Kết quả phân tích bằng phần mềm SmartPLS)</w:t>
      </w:r>
    </w:p>
    <w:p w:rsidR="00764EB5" w:rsidRDefault="00DF13CC" w:rsidP="003D6B28">
      <w:bookmarkStart w:id="562" w:name="_Toc234224145"/>
      <w:r>
        <w:t>Kết quả blindfolding cho thấy Q² của YDM = 0,369 và QDM = 0,356, đều lớn hơn 0. Điều này hỗ trợ nhận định mô hình có mức liên quan dự báo đối với hai cấu trúc nội sinh trong phạm vi quy trình blindfolding.</w:t>
      </w:r>
    </w:p>
    <w:p w:rsidR="00764EB5" w:rsidRDefault="00DF13CC" w:rsidP="003D6B28">
      <w:r>
        <w:lastRenderedPageBreak/>
        <w:t>Điểm đáng lưu ý là Q² của YDM và QDM tương đối gần nhau, mặc dù R² của hai cấu trúc có sự khác biệt. Điều này cho thấy cả hai phương trình nội sinh đều chứa thông tin dự báo có giá trị trong dữ liệu hiện tại.</w:t>
      </w:r>
    </w:p>
    <w:p w:rsidR="00764EB5" w:rsidRDefault="00DF13CC" w:rsidP="003D6B28">
      <w:r>
        <w:t>Tuy nhiên, cần phân biệt rõ predictive relevance với predictive performance. Q² blindfolding lớn hơn 0 không chứng minh rằng mô hình có thể dự báo chính xác hành vi của một tập khách hàng hoàn toàn mới. Đánh giá khả năng dự báo ngoài mẫu đòi hỏi các thủ tục như PLSpredict hoặc thiết kế xác thực ngoài mẫu (Shmueli et al., 2019).</w:t>
      </w:r>
    </w:p>
    <w:p w:rsidR="00764EB5" w:rsidRDefault="00DF13CC" w:rsidP="003D6B28">
      <w:pPr>
        <w:rPr>
          <w:b/>
        </w:rPr>
      </w:pPr>
      <w:r>
        <w:t>Do đó, luận án kết luận mô hình có mức liên quan dự báo đối với YDM và QDM trong dữ liệu nghiên cứu, nhưng không sử dụng Q² như bằng chứng để khẳng định khả năng dự báo thị trường trong tương lai</w:t>
      </w:r>
    </w:p>
    <w:p w:rsidR="00764EB5" w:rsidRDefault="00DF13CC" w:rsidP="007B644D">
      <w:pPr>
        <w:pStyle w:val="Heading2"/>
      </w:pPr>
      <w:bookmarkStart w:id="563" w:name="_Toc238480647"/>
      <w:bookmarkStart w:id="564" w:name="_Toc241062485"/>
      <w:bookmarkStart w:id="565" w:name="_Toc241064422"/>
      <w:bookmarkStart w:id="566" w:name="_Toc241065355"/>
      <w:bookmarkStart w:id="567" w:name="_Toc241065573"/>
      <w:r>
        <w:t>(4) Đánh giá độ phù hợp tổng thể của mô hình</w:t>
      </w:r>
      <w:bookmarkEnd w:id="562"/>
      <w:bookmarkEnd w:id="563"/>
      <w:bookmarkEnd w:id="564"/>
      <w:bookmarkEnd w:id="565"/>
      <w:bookmarkEnd w:id="566"/>
      <w:bookmarkEnd w:id="567"/>
    </w:p>
    <w:p w:rsidR="00764EB5" w:rsidRDefault="00DF13CC" w:rsidP="006575F3">
      <w:pPr>
        <w:pStyle w:val="DMB"/>
        <w:outlineLvl w:val="0"/>
      </w:pPr>
      <w:bookmarkStart w:id="568" w:name="__RefHeading___Toc7789_1147916741"/>
      <w:bookmarkStart w:id="569" w:name="_Toc226534674"/>
      <w:bookmarkStart w:id="570" w:name="_Toc238482034"/>
      <w:bookmarkStart w:id="571" w:name="_Toc241064423"/>
      <w:bookmarkStart w:id="572" w:name="_Toc241065574"/>
      <w:bookmarkEnd w:id="568"/>
      <w:bookmarkEnd w:id="569"/>
      <w:r>
        <w:t>Bảng 4.12. Độ phù hợp của mô hình (Model Fit)</w:t>
      </w:r>
      <w:bookmarkEnd w:id="570"/>
      <w:bookmarkEnd w:id="571"/>
      <w:bookmarkEnd w:id="572"/>
    </w:p>
    <w:tbl>
      <w:tblPr>
        <w:tblW w:w="6612" w:type="dxa"/>
        <w:jc w:val="center"/>
        <w:tblLayout w:type="fixed"/>
        <w:tblLook w:val="04A0" w:firstRow="1" w:lastRow="0" w:firstColumn="1" w:lastColumn="0" w:noHBand="0" w:noVBand="1"/>
      </w:tblPr>
      <w:tblGrid>
        <w:gridCol w:w="2307"/>
        <w:gridCol w:w="1913"/>
        <w:gridCol w:w="2392"/>
      </w:tblGrid>
      <w:tr w:rsidR="00764EB5">
        <w:trPr>
          <w:trHeight w:val="290"/>
          <w:jc w:val="center"/>
        </w:trPr>
        <w:tc>
          <w:tcPr>
            <w:tcW w:w="2307" w:type="dxa"/>
            <w:vAlign w:val="bottom"/>
          </w:tcPr>
          <w:p w:rsidR="00764EB5" w:rsidRDefault="00764EB5" w:rsidP="003D6B28">
            <w:pPr>
              <w:ind w:firstLine="0"/>
              <w:jc w:val="left"/>
              <w:rPr>
                <w:color w:val="auto"/>
                <w:szCs w:val="24"/>
              </w:rPr>
            </w:pPr>
          </w:p>
        </w:tc>
        <w:tc>
          <w:tcPr>
            <w:tcW w:w="1913"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Saturated model</w:t>
            </w:r>
          </w:p>
        </w:tc>
        <w:tc>
          <w:tcPr>
            <w:tcW w:w="2392" w:type="dxa"/>
            <w:tcBorders>
              <w:top w:val="single" w:sz="4" w:space="0" w:color="000000"/>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Estimated model</w:t>
            </w:r>
          </w:p>
        </w:tc>
      </w:tr>
      <w:tr w:rsidR="00764EB5">
        <w:trPr>
          <w:trHeight w:val="290"/>
          <w:jc w:val="center"/>
        </w:trPr>
        <w:tc>
          <w:tcPr>
            <w:tcW w:w="2307"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ind w:firstLine="0"/>
              <w:jc w:val="left"/>
              <w:rPr>
                <w:color w:val="auto"/>
                <w:szCs w:val="24"/>
              </w:rPr>
            </w:pPr>
            <w:r>
              <w:rPr>
                <w:color w:val="auto"/>
                <w:szCs w:val="24"/>
              </w:rPr>
              <w:t>SRMR</w:t>
            </w:r>
          </w:p>
        </w:tc>
        <w:tc>
          <w:tcPr>
            <w:tcW w:w="1913"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0,054</w:t>
            </w:r>
          </w:p>
        </w:tc>
        <w:tc>
          <w:tcPr>
            <w:tcW w:w="2392"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0,077</w:t>
            </w:r>
          </w:p>
        </w:tc>
      </w:tr>
      <w:tr w:rsidR="00764EB5">
        <w:trPr>
          <w:trHeight w:val="290"/>
          <w:jc w:val="center"/>
        </w:trPr>
        <w:tc>
          <w:tcPr>
            <w:tcW w:w="2307" w:type="dxa"/>
            <w:tcBorders>
              <w:left w:val="single" w:sz="4" w:space="0" w:color="000000"/>
              <w:bottom w:val="single" w:sz="4" w:space="0" w:color="000000"/>
              <w:right w:val="single" w:sz="4" w:space="0" w:color="000000"/>
            </w:tcBorders>
            <w:vAlign w:val="bottom"/>
          </w:tcPr>
          <w:p w:rsidR="00764EB5" w:rsidRDefault="00DF13CC" w:rsidP="003D6B28">
            <w:pPr>
              <w:ind w:firstLine="0"/>
              <w:jc w:val="left"/>
              <w:rPr>
                <w:color w:val="auto"/>
                <w:szCs w:val="24"/>
              </w:rPr>
            </w:pPr>
            <w:r>
              <w:rPr>
                <w:color w:val="auto"/>
                <w:szCs w:val="24"/>
              </w:rPr>
              <w:t>d_ULS</w:t>
            </w:r>
          </w:p>
        </w:tc>
        <w:tc>
          <w:tcPr>
            <w:tcW w:w="1913"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1,447</w:t>
            </w:r>
          </w:p>
        </w:tc>
        <w:tc>
          <w:tcPr>
            <w:tcW w:w="2392"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2,968</w:t>
            </w:r>
          </w:p>
        </w:tc>
      </w:tr>
      <w:tr w:rsidR="00764EB5">
        <w:trPr>
          <w:trHeight w:val="290"/>
          <w:jc w:val="center"/>
        </w:trPr>
        <w:tc>
          <w:tcPr>
            <w:tcW w:w="2307" w:type="dxa"/>
            <w:tcBorders>
              <w:left w:val="single" w:sz="4" w:space="0" w:color="000000"/>
              <w:bottom w:val="single" w:sz="4" w:space="0" w:color="000000"/>
              <w:right w:val="single" w:sz="4" w:space="0" w:color="000000"/>
            </w:tcBorders>
            <w:vAlign w:val="bottom"/>
          </w:tcPr>
          <w:p w:rsidR="00764EB5" w:rsidRDefault="00DF13CC" w:rsidP="003D6B28">
            <w:pPr>
              <w:ind w:firstLine="0"/>
              <w:jc w:val="left"/>
              <w:rPr>
                <w:color w:val="auto"/>
                <w:szCs w:val="24"/>
              </w:rPr>
            </w:pPr>
            <w:r>
              <w:rPr>
                <w:color w:val="auto"/>
                <w:szCs w:val="24"/>
              </w:rPr>
              <w:t>d_G</w:t>
            </w:r>
          </w:p>
        </w:tc>
        <w:tc>
          <w:tcPr>
            <w:tcW w:w="1913"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0,521</w:t>
            </w:r>
          </w:p>
        </w:tc>
        <w:tc>
          <w:tcPr>
            <w:tcW w:w="2392"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0,564</w:t>
            </w:r>
          </w:p>
        </w:tc>
      </w:tr>
      <w:tr w:rsidR="00764EB5">
        <w:trPr>
          <w:trHeight w:val="290"/>
          <w:jc w:val="center"/>
        </w:trPr>
        <w:tc>
          <w:tcPr>
            <w:tcW w:w="2307" w:type="dxa"/>
            <w:tcBorders>
              <w:left w:val="single" w:sz="4" w:space="0" w:color="000000"/>
              <w:bottom w:val="single" w:sz="4" w:space="0" w:color="000000"/>
              <w:right w:val="single" w:sz="4" w:space="0" w:color="000000"/>
            </w:tcBorders>
            <w:vAlign w:val="bottom"/>
          </w:tcPr>
          <w:p w:rsidR="00764EB5" w:rsidRDefault="00DF13CC" w:rsidP="003D6B28">
            <w:pPr>
              <w:ind w:firstLine="0"/>
              <w:jc w:val="left"/>
              <w:rPr>
                <w:color w:val="auto"/>
                <w:szCs w:val="24"/>
              </w:rPr>
            </w:pPr>
            <w:r>
              <w:rPr>
                <w:color w:val="auto"/>
                <w:szCs w:val="24"/>
              </w:rPr>
              <w:t>Chi-square</w:t>
            </w:r>
          </w:p>
        </w:tc>
        <w:tc>
          <w:tcPr>
            <w:tcW w:w="1913"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1074,612</w:t>
            </w:r>
          </w:p>
        </w:tc>
        <w:tc>
          <w:tcPr>
            <w:tcW w:w="2392"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1133,536</w:t>
            </w:r>
          </w:p>
        </w:tc>
      </w:tr>
      <w:tr w:rsidR="00764EB5">
        <w:trPr>
          <w:trHeight w:val="290"/>
          <w:jc w:val="center"/>
        </w:trPr>
        <w:tc>
          <w:tcPr>
            <w:tcW w:w="2307" w:type="dxa"/>
            <w:tcBorders>
              <w:left w:val="single" w:sz="4" w:space="0" w:color="000000"/>
              <w:bottom w:val="single" w:sz="4" w:space="0" w:color="000000"/>
              <w:right w:val="single" w:sz="4" w:space="0" w:color="000000"/>
            </w:tcBorders>
            <w:vAlign w:val="bottom"/>
          </w:tcPr>
          <w:p w:rsidR="00764EB5" w:rsidRDefault="00DF13CC" w:rsidP="003D6B28">
            <w:pPr>
              <w:ind w:firstLine="0"/>
              <w:jc w:val="left"/>
              <w:rPr>
                <w:color w:val="auto"/>
                <w:szCs w:val="24"/>
              </w:rPr>
            </w:pPr>
            <w:r>
              <w:rPr>
                <w:color w:val="auto"/>
                <w:szCs w:val="24"/>
              </w:rPr>
              <w:t>NFI</w:t>
            </w:r>
          </w:p>
        </w:tc>
        <w:tc>
          <w:tcPr>
            <w:tcW w:w="1913"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0,843</w:t>
            </w:r>
          </w:p>
        </w:tc>
        <w:tc>
          <w:tcPr>
            <w:tcW w:w="2392" w:type="dxa"/>
            <w:tcBorders>
              <w:bottom w:val="single" w:sz="4" w:space="0" w:color="000000"/>
              <w:right w:val="single" w:sz="4" w:space="0" w:color="000000"/>
            </w:tcBorders>
            <w:vAlign w:val="bottom"/>
          </w:tcPr>
          <w:p w:rsidR="00764EB5" w:rsidRDefault="00DF13CC" w:rsidP="003D6B28">
            <w:pPr>
              <w:ind w:firstLine="0"/>
              <w:jc w:val="right"/>
              <w:rPr>
                <w:color w:val="auto"/>
                <w:szCs w:val="24"/>
              </w:rPr>
            </w:pPr>
            <w:r>
              <w:rPr>
                <w:color w:val="auto"/>
                <w:szCs w:val="24"/>
              </w:rPr>
              <w:t>0,835</w:t>
            </w:r>
          </w:p>
        </w:tc>
      </w:tr>
    </w:tbl>
    <w:p w:rsidR="00764EB5" w:rsidRDefault="00DF13CC" w:rsidP="003D6B28">
      <w:pPr>
        <w:jc w:val="right"/>
        <w:rPr>
          <w:i/>
          <w:iCs/>
          <w:color w:val="auto"/>
        </w:rPr>
      </w:pPr>
      <w:r>
        <w:rPr>
          <w:i/>
          <w:iCs/>
          <w:color w:val="auto"/>
        </w:rPr>
        <w:t>(Nguồn: Kết quả phân tích bằng phần mềm SmartPLS)</w:t>
      </w:r>
    </w:p>
    <w:p w:rsidR="00764EB5" w:rsidRDefault="00DF13CC" w:rsidP="003D6B28">
      <w:pPr>
        <w:rPr>
          <w:color w:val="auto"/>
        </w:rPr>
      </w:pPr>
      <w:r>
        <w:rPr>
          <w:color w:val="auto"/>
        </w:rPr>
        <w:t>Bảng 4.12 cung cấp các chỉ số phù hợp tổng thể của mô hình. Trong PLS-SEM, các chỉ số này được sử dụng như thông tin bổ trợ và phải được diễn giải cùng với mô hình đo lường, mô hình cấu trúc và mục tiêu dự báo. SRMR có thể được đối chiếu với ngưỡng tham khảo; đối với d_ULS và d_G, việc kết luận cần có các phân vị HI95/HI99 từ bootstrapping (Hair et al., 2022).</w:t>
      </w:r>
    </w:p>
    <w:p w:rsidR="00764EB5" w:rsidRDefault="00DF13CC" w:rsidP="003D6B28">
      <w:pPr>
        <w:rPr>
          <w:color w:val="auto"/>
        </w:rPr>
      </w:pPr>
      <w:r>
        <w:rPr>
          <w:color w:val="auto"/>
        </w:rPr>
        <w:t>Kết quả cho thấy SRMR của mô hình bão hòa bằng 0,054 và của mô hình ước lượng bằng 0,077. Giá trị 0,077 thấp hơn ngưỡng tham khảo 0,08, qua đó hỗ trợ nhận định rằng sai lệch chuẩn hóa giữa tương quan quan sát và tương quan được hàm ý bởi mô hình nằm trong phạm vi có thể chấp nhận.</w:t>
      </w:r>
    </w:p>
    <w:p w:rsidR="00764EB5" w:rsidRDefault="00DF13CC" w:rsidP="003D6B28">
      <w:pPr>
        <w:rPr>
          <w:color w:val="auto"/>
        </w:rPr>
      </w:pPr>
      <w:r>
        <w:rPr>
          <w:color w:val="auto"/>
        </w:rPr>
        <w:lastRenderedPageBreak/>
        <w:t>Tuy nhiên, các chỉ số còn lại không cho phép đưa ra một kết luận tuyệt đối về “độ phù hợp tốt”. NFI của mô hình ước lượng đạt 0,835, thấp hơn mức 0,90 thường được sử dụng như một mức tham khảo. d_ULS = 2,968 và d_G = 0,564 nhưng luận án chưa có các phân vị HI95/HI99 tương ứng từ bootstrapping để đối chiếu. Do đó, hai chỉ số này chỉ nên được báo cáo mô tả.</w:t>
      </w:r>
    </w:p>
    <w:p w:rsidR="00764EB5" w:rsidRDefault="00DF13CC" w:rsidP="003D6B28">
      <w:pPr>
        <w:rPr>
          <w:color w:val="auto"/>
        </w:rPr>
      </w:pPr>
      <w:r>
        <w:rPr>
          <w:color w:val="auto"/>
        </w:rPr>
        <w:t>Chi-square của mô hình ước lượng là 1.133,536, cao hơn mô hình bão hòa là 1.074,612. Trong PLS-SEM, chỉ số này không được sử dụng độc lập để bác bỏ hoặc chấp nhận toàn bộ mô hình.</w:t>
      </w:r>
    </w:p>
    <w:p w:rsidR="00764EB5" w:rsidRDefault="00DF13CC" w:rsidP="003D6B28">
      <w:pPr>
        <w:rPr>
          <w:color w:val="auto"/>
        </w:rPr>
      </w:pPr>
      <w:r>
        <w:rPr>
          <w:color w:val="auto"/>
        </w:rPr>
        <w:t>Vì vậy, kết luận phù hợp nhất là SRMR hỗ trợ một mức phù hợp chấp nhận được, trong khi NFI chưa đạt mức tham khảo 0,90 và d_ULS/d_G chưa đủ dữ liệu để kết luận. Đánh giá chất lượng mô hình cần dựa trên sự kết hợp của mô hình đo lường, hệ số đường dẫn, R², f², Q² và SRMR.</w:t>
      </w:r>
    </w:p>
    <w:p w:rsidR="00764EB5" w:rsidRDefault="00DF13CC" w:rsidP="003D6B28">
      <w:pPr>
        <w:rPr>
          <w:color w:val="auto"/>
        </w:rPr>
      </w:pPr>
      <w:r>
        <w:rPr>
          <w:color w:val="auto"/>
        </w:rPr>
        <w:t>Cách tiếp cận này cũng phản ánh đúng logic của PLS-SEM: trọng tâm không chỉ nằm ở độ phù hợp tổng thể mà còn ở khả năng giải thích và dự báo của các cấu trúc nội sinh. Việc tránh khẳng định “mô hình phù hợp hoàn hảo” làm cho kết quả có tính thận trọng và khoa học hơn.</w:t>
      </w:r>
    </w:p>
    <w:p w:rsidR="00764EB5" w:rsidRDefault="00DF13CC" w:rsidP="007B644D">
      <w:pPr>
        <w:pStyle w:val="Heading2"/>
      </w:pPr>
      <w:bookmarkStart w:id="573" w:name="_Toc234224146"/>
      <w:bookmarkStart w:id="574" w:name="_Toc238480648"/>
      <w:bookmarkStart w:id="575" w:name="_Toc241062486"/>
      <w:bookmarkStart w:id="576" w:name="_Toc241064424"/>
      <w:bookmarkStart w:id="577" w:name="_Toc241065357"/>
      <w:bookmarkStart w:id="578" w:name="_Toc241065575"/>
      <w:bookmarkEnd w:id="573"/>
      <w:r>
        <w:t>(5) Phân tích tác động gián tiếp qua Ý định mua</w:t>
      </w:r>
      <w:bookmarkEnd w:id="574"/>
      <w:bookmarkEnd w:id="575"/>
      <w:bookmarkEnd w:id="576"/>
      <w:bookmarkEnd w:id="577"/>
      <w:bookmarkEnd w:id="578"/>
    </w:p>
    <w:p w:rsidR="00764EB5" w:rsidRDefault="00DF13CC" w:rsidP="003D6B28">
      <w:pPr>
        <w:rPr>
          <w:color w:val="auto"/>
        </w:rPr>
      </w:pPr>
      <w:r>
        <w:rPr>
          <w:color w:val="auto"/>
        </w:rPr>
        <w:t>Bên cạnh các quan hệ trực tiếp đã được đặc tả trong mô hình, nghiên cứu đánh giá các tác động gián tiếp từ Thái độ (TD), Chuẩn chủ quan (CCQ), Nhận thức kiểm soát hành vi (NTHV) và Giá trị cảm nhận căn hộ (GTCN) đến QDM thông qua Ý định mua (YDM). Ý nghĩa thống kê của các tác động gián tiếp được đánh giá bằng bootstrapping trên SmartPLS. Vì mô hình gốc không ước lượng đầy đủ các đường trực tiếp từ từng biến tiền đề đến QDM, kết quả ở mục này không được dùng để phân loại trung gian toàn phần hay trung gian một phần.</w:t>
      </w:r>
    </w:p>
    <w:p w:rsidR="00764EB5" w:rsidRDefault="00DF13CC" w:rsidP="006575F3">
      <w:pPr>
        <w:pStyle w:val="DMB"/>
        <w:outlineLvl w:val="0"/>
        <w:rPr>
          <w:i w:val="0"/>
        </w:rPr>
      </w:pPr>
      <w:bookmarkStart w:id="579" w:name="_Toc238482035"/>
      <w:bookmarkStart w:id="580" w:name="_Toc241064425"/>
      <w:bookmarkStart w:id="581" w:name="_Toc241065576"/>
      <w:r>
        <w:t>Bảng 4.13. Kết quả kiểm định tác động gián tiếp</w:t>
      </w:r>
      <w:bookmarkEnd w:id="579"/>
      <w:bookmarkEnd w:id="580"/>
      <w:bookmarkEnd w:id="581"/>
    </w:p>
    <w:tbl>
      <w:tblPr>
        <w:tblW w:w="5000" w:type="pct"/>
        <w:tblLayout w:type="fixed"/>
        <w:tblLook w:val="04A0" w:firstRow="1" w:lastRow="0" w:firstColumn="1" w:lastColumn="0" w:noHBand="0" w:noVBand="1"/>
      </w:tblPr>
      <w:tblGrid>
        <w:gridCol w:w="2220"/>
        <w:gridCol w:w="1408"/>
        <w:gridCol w:w="1268"/>
        <w:gridCol w:w="1268"/>
        <w:gridCol w:w="1549"/>
        <w:gridCol w:w="1290"/>
      </w:tblGrid>
      <w:tr w:rsidR="00764EB5">
        <w:trPr>
          <w:trHeight w:val="290"/>
        </w:trPr>
        <w:tc>
          <w:tcPr>
            <w:tcW w:w="2235" w:type="dxa"/>
            <w:vAlign w:val="bottom"/>
          </w:tcPr>
          <w:p w:rsidR="00764EB5" w:rsidRDefault="00764EB5" w:rsidP="003D6B28">
            <w:pPr>
              <w:ind w:left="-57" w:right="-57"/>
              <w:rPr>
                <w:szCs w:val="26"/>
              </w:rPr>
            </w:pPr>
          </w:p>
        </w:tc>
        <w:tc>
          <w:tcPr>
            <w:tcW w:w="1417"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ind w:left="-57" w:right="-57" w:firstLine="0"/>
              <w:rPr>
                <w:szCs w:val="26"/>
              </w:rPr>
            </w:pPr>
            <w:r>
              <w:rPr>
                <w:szCs w:val="26"/>
              </w:rPr>
              <w:t>Original sample (O)</w:t>
            </w:r>
          </w:p>
        </w:tc>
        <w:tc>
          <w:tcPr>
            <w:tcW w:w="1276" w:type="dxa"/>
            <w:tcBorders>
              <w:top w:val="single" w:sz="4" w:space="0" w:color="000000"/>
              <w:bottom w:val="single" w:sz="4" w:space="0" w:color="000000"/>
              <w:right w:val="single" w:sz="4" w:space="0" w:color="000000"/>
            </w:tcBorders>
            <w:vAlign w:val="bottom"/>
          </w:tcPr>
          <w:p w:rsidR="00764EB5" w:rsidRDefault="00DF13CC" w:rsidP="003D6B28">
            <w:pPr>
              <w:ind w:left="-57" w:right="-57" w:firstLine="0"/>
              <w:rPr>
                <w:szCs w:val="26"/>
              </w:rPr>
            </w:pPr>
            <w:r>
              <w:rPr>
                <w:szCs w:val="26"/>
              </w:rPr>
              <w:t>Sample mean (M)</w:t>
            </w:r>
          </w:p>
        </w:tc>
        <w:tc>
          <w:tcPr>
            <w:tcW w:w="1276" w:type="dxa"/>
            <w:tcBorders>
              <w:top w:val="single" w:sz="4" w:space="0" w:color="000000"/>
              <w:bottom w:val="single" w:sz="4" w:space="0" w:color="000000"/>
              <w:right w:val="single" w:sz="4" w:space="0" w:color="000000"/>
            </w:tcBorders>
            <w:vAlign w:val="bottom"/>
          </w:tcPr>
          <w:p w:rsidR="00764EB5" w:rsidRDefault="00DF13CC" w:rsidP="003D6B28">
            <w:pPr>
              <w:ind w:left="-57" w:right="-57" w:firstLine="0"/>
              <w:rPr>
                <w:szCs w:val="26"/>
              </w:rPr>
            </w:pPr>
            <w:r>
              <w:rPr>
                <w:szCs w:val="26"/>
              </w:rPr>
              <w:t>Standard deviation (STDEV)</w:t>
            </w:r>
          </w:p>
        </w:tc>
        <w:tc>
          <w:tcPr>
            <w:tcW w:w="1559" w:type="dxa"/>
            <w:tcBorders>
              <w:top w:val="single" w:sz="4" w:space="0" w:color="000000"/>
              <w:bottom w:val="single" w:sz="4" w:space="0" w:color="000000"/>
              <w:right w:val="single" w:sz="4" w:space="0" w:color="000000"/>
            </w:tcBorders>
            <w:vAlign w:val="bottom"/>
          </w:tcPr>
          <w:p w:rsidR="00764EB5" w:rsidRDefault="00DF13CC" w:rsidP="003D6B28">
            <w:pPr>
              <w:ind w:left="-57" w:right="-57" w:firstLine="0"/>
              <w:rPr>
                <w:szCs w:val="26"/>
              </w:rPr>
            </w:pPr>
            <w:r>
              <w:rPr>
                <w:szCs w:val="26"/>
              </w:rPr>
              <w:t>T statistics (|O/STDEV|)</w:t>
            </w:r>
          </w:p>
        </w:tc>
        <w:tc>
          <w:tcPr>
            <w:tcW w:w="1298" w:type="dxa"/>
            <w:tcBorders>
              <w:top w:val="single" w:sz="4" w:space="0" w:color="000000"/>
              <w:bottom w:val="single" w:sz="4" w:space="0" w:color="000000"/>
              <w:right w:val="single" w:sz="4" w:space="0" w:color="000000"/>
            </w:tcBorders>
            <w:vAlign w:val="bottom"/>
          </w:tcPr>
          <w:p w:rsidR="00764EB5" w:rsidRDefault="00DF13CC" w:rsidP="003D6B28">
            <w:pPr>
              <w:ind w:left="-57" w:right="-57" w:firstLine="0"/>
              <w:rPr>
                <w:szCs w:val="26"/>
              </w:rPr>
            </w:pPr>
            <w:r>
              <w:rPr>
                <w:szCs w:val="26"/>
              </w:rPr>
              <w:t>P values</w:t>
            </w:r>
          </w:p>
        </w:tc>
      </w:tr>
      <w:tr w:rsidR="00764EB5">
        <w:trPr>
          <w:trHeight w:val="290"/>
        </w:trPr>
        <w:tc>
          <w:tcPr>
            <w:tcW w:w="2235" w:type="dxa"/>
            <w:tcBorders>
              <w:top w:val="single" w:sz="4" w:space="0" w:color="000000"/>
              <w:left w:val="single" w:sz="4" w:space="0" w:color="000000"/>
              <w:bottom w:val="single" w:sz="4" w:space="0" w:color="000000"/>
              <w:right w:val="single" w:sz="4" w:space="0" w:color="000000"/>
            </w:tcBorders>
            <w:vAlign w:val="bottom"/>
          </w:tcPr>
          <w:p w:rsidR="00764EB5" w:rsidRDefault="00DF13CC" w:rsidP="003D6B28">
            <w:pPr>
              <w:ind w:left="-57" w:right="-57"/>
              <w:rPr>
                <w:szCs w:val="26"/>
              </w:rPr>
            </w:pPr>
            <w:r>
              <w:rPr>
                <w:szCs w:val="26"/>
              </w:rPr>
              <w:t>TD -&gt; YDM -&gt; QDM</w:t>
            </w:r>
          </w:p>
        </w:tc>
        <w:tc>
          <w:tcPr>
            <w:tcW w:w="1417" w:type="dxa"/>
            <w:tcBorders>
              <w:bottom w:val="single" w:sz="4" w:space="0" w:color="000000"/>
              <w:right w:val="single" w:sz="4" w:space="0" w:color="000000"/>
            </w:tcBorders>
            <w:vAlign w:val="bottom"/>
          </w:tcPr>
          <w:p w:rsidR="00764EB5" w:rsidRDefault="00DF13CC" w:rsidP="003D6B28">
            <w:pPr>
              <w:ind w:left="-57" w:right="-57"/>
              <w:jc w:val="right"/>
              <w:rPr>
                <w:szCs w:val="26"/>
              </w:rPr>
            </w:pPr>
            <w:r>
              <w:rPr>
                <w:szCs w:val="26"/>
              </w:rPr>
              <w:t>0,159</w:t>
            </w:r>
          </w:p>
        </w:tc>
        <w:tc>
          <w:tcPr>
            <w:tcW w:w="1276" w:type="dxa"/>
            <w:tcBorders>
              <w:bottom w:val="single" w:sz="4" w:space="0" w:color="000000"/>
              <w:right w:val="single" w:sz="4" w:space="0" w:color="000000"/>
            </w:tcBorders>
            <w:vAlign w:val="bottom"/>
          </w:tcPr>
          <w:p w:rsidR="00764EB5" w:rsidRDefault="00DF13CC" w:rsidP="003D6B28">
            <w:pPr>
              <w:ind w:left="-57" w:right="-57" w:firstLine="0"/>
              <w:jc w:val="right"/>
              <w:rPr>
                <w:szCs w:val="26"/>
              </w:rPr>
            </w:pPr>
            <w:r>
              <w:rPr>
                <w:szCs w:val="26"/>
              </w:rPr>
              <w:t>0,159</w:t>
            </w:r>
          </w:p>
        </w:tc>
        <w:tc>
          <w:tcPr>
            <w:tcW w:w="1276" w:type="dxa"/>
            <w:tcBorders>
              <w:bottom w:val="single" w:sz="4" w:space="0" w:color="000000"/>
              <w:right w:val="single" w:sz="4" w:space="0" w:color="000000"/>
            </w:tcBorders>
            <w:vAlign w:val="bottom"/>
          </w:tcPr>
          <w:p w:rsidR="00764EB5" w:rsidRDefault="00DF13CC" w:rsidP="003D6B28">
            <w:pPr>
              <w:ind w:left="-57" w:right="-57" w:firstLine="0"/>
              <w:jc w:val="right"/>
              <w:rPr>
                <w:szCs w:val="26"/>
              </w:rPr>
            </w:pPr>
            <w:r>
              <w:rPr>
                <w:szCs w:val="26"/>
              </w:rPr>
              <w:t>0,037</w:t>
            </w:r>
          </w:p>
        </w:tc>
        <w:tc>
          <w:tcPr>
            <w:tcW w:w="1559" w:type="dxa"/>
            <w:tcBorders>
              <w:bottom w:val="single" w:sz="4" w:space="0" w:color="000000"/>
              <w:right w:val="single" w:sz="4" w:space="0" w:color="000000"/>
            </w:tcBorders>
            <w:vAlign w:val="bottom"/>
          </w:tcPr>
          <w:p w:rsidR="00764EB5" w:rsidRDefault="00DF13CC" w:rsidP="003D6B28">
            <w:pPr>
              <w:ind w:left="-57" w:right="-57"/>
              <w:jc w:val="right"/>
              <w:rPr>
                <w:szCs w:val="26"/>
              </w:rPr>
            </w:pPr>
            <w:r>
              <w:rPr>
                <w:szCs w:val="26"/>
              </w:rPr>
              <w:t>4,351</w:t>
            </w:r>
          </w:p>
        </w:tc>
        <w:tc>
          <w:tcPr>
            <w:tcW w:w="1298" w:type="dxa"/>
            <w:tcBorders>
              <w:bottom w:val="single" w:sz="4" w:space="0" w:color="000000"/>
              <w:right w:val="single" w:sz="4" w:space="0" w:color="000000"/>
            </w:tcBorders>
            <w:vAlign w:val="bottom"/>
          </w:tcPr>
          <w:p w:rsidR="00764EB5" w:rsidRDefault="00DF13CC" w:rsidP="003D6B28">
            <w:pPr>
              <w:ind w:left="-57" w:right="-57" w:firstLine="0"/>
              <w:jc w:val="right"/>
              <w:rPr>
                <w:szCs w:val="26"/>
              </w:rPr>
            </w:pPr>
            <w:r>
              <w:rPr>
                <w:szCs w:val="26"/>
              </w:rPr>
              <w:t>0,000</w:t>
            </w:r>
          </w:p>
        </w:tc>
      </w:tr>
      <w:tr w:rsidR="00764EB5">
        <w:trPr>
          <w:trHeight w:val="290"/>
        </w:trPr>
        <w:tc>
          <w:tcPr>
            <w:tcW w:w="2235" w:type="dxa"/>
            <w:tcBorders>
              <w:left w:val="single" w:sz="4" w:space="0" w:color="000000"/>
              <w:bottom w:val="single" w:sz="4" w:space="0" w:color="000000"/>
              <w:right w:val="single" w:sz="4" w:space="0" w:color="000000"/>
            </w:tcBorders>
            <w:vAlign w:val="bottom"/>
          </w:tcPr>
          <w:p w:rsidR="00764EB5" w:rsidRDefault="00DF13CC" w:rsidP="003D6B28">
            <w:pPr>
              <w:ind w:left="-57" w:right="-57"/>
              <w:rPr>
                <w:szCs w:val="26"/>
              </w:rPr>
            </w:pPr>
            <w:r>
              <w:rPr>
                <w:szCs w:val="26"/>
              </w:rPr>
              <w:lastRenderedPageBreak/>
              <w:t>CCQ -&gt; YDM -&gt; QDM</w:t>
            </w:r>
          </w:p>
        </w:tc>
        <w:tc>
          <w:tcPr>
            <w:tcW w:w="1417" w:type="dxa"/>
            <w:tcBorders>
              <w:bottom w:val="single" w:sz="4" w:space="0" w:color="000000"/>
              <w:right w:val="single" w:sz="4" w:space="0" w:color="000000"/>
            </w:tcBorders>
            <w:vAlign w:val="bottom"/>
          </w:tcPr>
          <w:p w:rsidR="00764EB5" w:rsidRDefault="00DF13CC" w:rsidP="003D6B28">
            <w:pPr>
              <w:ind w:left="-57" w:right="-57"/>
              <w:jc w:val="right"/>
              <w:rPr>
                <w:szCs w:val="26"/>
              </w:rPr>
            </w:pPr>
            <w:r>
              <w:rPr>
                <w:szCs w:val="26"/>
              </w:rPr>
              <w:t>0,176</w:t>
            </w:r>
          </w:p>
        </w:tc>
        <w:tc>
          <w:tcPr>
            <w:tcW w:w="1276" w:type="dxa"/>
            <w:tcBorders>
              <w:bottom w:val="single" w:sz="4" w:space="0" w:color="000000"/>
              <w:right w:val="single" w:sz="4" w:space="0" w:color="000000"/>
            </w:tcBorders>
            <w:vAlign w:val="bottom"/>
          </w:tcPr>
          <w:p w:rsidR="00764EB5" w:rsidRDefault="00DF13CC" w:rsidP="003D6B28">
            <w:pPr>
              <w:ind w:left="-57" w:right="-57" w:firstLine="0"/>
              <w:jc w:val="right"/>
              <w:rPr>
                <w:szCs w:val="26"/>
              </w:rPr>
            </w:pPr>
            <w:r>
              <w:rPr>
                <w:szCs w:val="26"/>
              </w:rPr>
              <w:t>0,179</w:t>
            </w:r>
          </w:p>
        </w:tc>
        <w:tc>
          <w:tcPr>
            <w:tcW w:w="1276" w:type="dxa"/>
            <w:tcBorders>
              <w:bottom w:val="single" w:sz="4" w:space="0" w:color="000000"/>
              <w:right w:val="single" w:sz="4" w:space="0" w:color="000000"/>
            </w:tcBorders>
            <w:vAlign w:val="bottom"/>
          </w:tcPr>
          <w:p w:rsidR="00764EB5" w:rsidRDefault="00DF13CC" w:rsidP="003D6B28">
            <w:pPr>
              <w:ind w:left="-57" w:right="-57" w:firstLine="0"/>
              <w:jc w:val="right"/>
              <w:rPr>
                <w:szCs w:val="26"/>
              </w:rPr>
            </w:pPr>
            <w:r>
              <w:rPr>
                <w:szCs w:val="26"/>
              </w:rPr>
              <w:t>0,039</w:t>
            </w:r>
          </w:p>
        </w:tc>
        <w:tc>
          <w:tcPr>
            <w:tcW w:w="1559" w:type="dxa"/>
            <w:tcBorders>
              <w:bottom w:val="single" w:sz="4" w:space="0" w:color="000000"/>
              <w:right w:val="single" w:sz="4" w:space="0" w:color="000000"/>
            </w:tcBorders>
            <w:vAlign w:val="bottom"/>
          </w:tcPr>
          <w:p w:rsidR="00764EB5" w:rsidRDefault="00DF13CC" w:rsidP="003D6B28">
            <w:pPr>
              <w:ind w:left="-57" w:right="-57"/>
              <w:jc w:val="right"/>
              <w:rPr>
                <w:szCs w:val="26"/>
              </w:rPr>
            </w:pPr>
            <w:r>
              <w:rPr>
                <w:szCs w:val="26"/>
              </w:rPr>
              <w:t>4,501</w:t>
            </w:r>
          </w:p>
        </w:tc>
        <w:tc>
          <w:tcPr>
            <w:tcW w:w="1298" w:type="dxa"/>
            <w:tcBorders>
              <w:bottom w:val="single" w:sz="4" w:space="0" w:color="000000"/>
              <w:right w:val="single" w:sz="4" w:space="0" w:color="000000"/>
            </w:tcBorders>
            <w:vAlign w:val="bottom"/>
          </w:tcPr>
          <w:p w:rsidR="00764EB5" w:rsidRDefault="00DF13CC" w:rsidP="003D6B28">
            <w:pPr>
              <w:ind w:left="-57" w:right="-57" w:firstLine="0"/>
              <w:jc w:val="right"/>
              <w:rPr>
                <w:szCs w:val="26"/>
              </w:rPr>
            </w:pPr>
            <w:r>
              <w:rPr>
                <w:szCs w:val="26"/>
              </w:rPr>
              <w:t>0,000</w:t>
            </w:r>
          </w:p>
        </w:tc>
      </w:tr>
      <w:tr w:rsidR="00764EB5">
        <w:trPr>
          <w:trHeight w:val="290"/>
        </w:trPr>
        <w:tc>
          <w:tcPr>
            <w:tcW w:w="2235" w:type="dxa"/>
            <w:tcBorders>
              <w:left w:val="single" w:sz="4" w:space="0" w:color="000000"/>
              <w:bottom w:val="single" w:sz="4" w:space="0" w:color="000000"/>
              <w:right w:val="single" w:sz="4" w:space="0" w:color="000000"/>
            </w:tcBorders>
            <w:vAlign w:val="bottom"/>
          </w:tcPr>
          <w:p w:rsidR="00764EB5" w:rsidRDefault="00DF13CC" w:rsidP="003D6B28">
            <w:pPr>
              <w:ind w:left="-57" w:right="-57"/>
              <w:rPr>
                <w:szCs w:val="26"/>
              </w:rPr>
            </w:pPr>
            <w:r>
              <w:rPr>
                <w:szCs w:val="26"/>
              </w:rPr>
              <w:t>GTCN -&gt; YDM -&gt; QDM</w:t>
            </w:r>
          </w:p>
        </w:tc>
        <w:tc>
          <w:tcPr>
            <w:tcW w:w="1417" w:type="dxa"/>
            <w:tcBorders>
              <w:bottom w:val="single" w:sz="4" w:space="0" w:color="000000"/>
              <w:right w:val="single" w:sz="4" w:space="0" w:color="000000"/>
            </w:tcBorders>
            <w:vAlign w:val="bottom"/>
          </w:tcPr>
          <w:p w:rsidR="00764EB5" w:rsidRDefault="00DF13CC" w:rsidP="003D6B28">
            <w:pPr>
              <w:ind w:left="-57" w:right="-57"/>
              <w:jc w:val="right"/>
              <w:rPr>
                <w:szCs w:val="26"/>
              </w:rPr>
            </w:pPr>
            <w:r>
              <w:rPr>
                <w:szCs w:val="26"/>
              </w:rPr>
              <w:t>0,177</w:t>
            </w:r>
          </w:p>
        </w:tc>
        <w:tc>
          <w:tcPr>
            <w:tcW w:w="1276" w:type="dxa"/>
            <w:tcBorders>
              <w:bottom w:val="single" w:sz="4" w:space="0" w:color="000000"/>
              <w:right w:val="single" w:sz="4" w:space="0" w:color="000000"/>
            </w:tcBorders>
            <w:vAlign w:val="bottom"/>
          </w:tcPr>
          <w:p w:rsidR="00764EB5" w:rsidRDefault="00DF13CC" w:rsidP="003D6B28">
            <w:pPr>
              <w:ind w:left="-57" w:right="-57" w:firstLine="0"/>
              <w:jc w:val="right"/>
              <w:rPr>
                <w:szCs w:val="26"/>
              </w:rPr>
            </w:pPr>
            <w:r>
              <w:rPr>
                <w:szCs w:val="26"/>
              </w:rPr>
              <w:t>0,178</w:t>
            </w:r>
          </w:p>
        </w:tc>
        <w:tc>
          <w:tcPr>
            <w:tcW w:w="1276" w:type="dxa"/>
            <w:tcBorders>
              <w:bottom w:val="single" w:sz="4" w:space="0" w:color="000000"/>
              <w:right w:val="single" w:sz="4" w:space="0" w:color="000000"/>
            </w:tcBorders>
            <w:vAlign w:val="bottom"/>
          </w:tcPr>
          <w:p w:rsidR="00764EB5" w:rsidRDefault="00DF13CC" w:rsidP="003D6B28">
            <w:pPr>
              <w:ind w:left="-57" w:right="-57" w:firstLine="0"/>
              <w:jc w:val="right"/>
              <w:rPr>
                <w:szCs w:val="26"/>
              </w:rPr>
            </w:pPr>
            <w:r>
              <w:rPr>
                <w:szCs w:val="26"/>
              </w:rPr>
              <w:t>0,033</w:t>
            </w:r>
          </w:p>
        </w:tc>
        <w:tc>
          <w:tcPr>
            <w:tcW w:w="1559" w:type="dxa"/>
            <w:tcBorders>
              <w:bottom w:val="single" w:sz="4" w:space="0" w:color="000000"/>
              <w:right w:val="single" w:sz="4" w:space="0" w:color="000000"/>
            </w:tcBorders>
            <w:vAlign w:val="bottom"/>
          </w:tcPr>
          <w:p w:rsidR="00764EB5" w:rsidRDefault="00DF13CC" w:rsidP="003D6B28">
            <w:pPr>
              <w:ind w:left="-57" w:right="-57"/>
              <w:jc w:val="right"/>
              <w:rPr>
                <w:szCs w:val="26"/>
              </w:rPr>
            </w:pPr>
            <w:r>
              <w:rPr>
                <w:szCs w:val="26"/>
              </w:rPr>
              <w:t>5,372</w:t>
            </w:r>
          </w:p>
        </w:tc>
        <w:tc>
          <w:tcPr>
            <w:tcW w:w="1298" w:type="dxa"/>
            <w:tcBorders>
              <w:bottom w:val="single" w:sz="4" w:space="0" w:color="000000"/>
              <w:right w:val="single" w:sz="4" w:space="0" w:color="000000"/>
            </w:tcBorders>
            <w:vAlign w:val="bottom"/>
          </w:tcPr>
          <w:p w:rsidR="00764EB5" w:rsidRDefault="00DF13CC" w:rsidP="003D6B28">
            <w:pPr>
              <w:ind w:left="-57" w:right="-57" w:firstLine="0"/>
              <w:jc w:val="right"/>
              <w:rPr>
                <w:szCs w:val="26"/>
              </w:rPr>
            </w:pPr>
            <w:r>
              <w:rPr>
                <w:szCs w:val="26"/>
              </w:rPr>
              <w:t>0,000</w:t>
            </w:r>
          </w:p>
        </w:tc>
      </w:tr>
      <w:tr w:rsidR="00764EB5">
        <w:trPr>
          <w:trHeight w:val="290"/>
        </w:trPr>
        <w:tc>
          <w:tcPr>
            <w:tcW w:w="2235" w:type="dxa"/>
            <w:tcBorders>
              <w:left w:val="single" w:sz="4" w:space="0" w:color="000000"/>
              <w:bottom w:val="single" w:sz="4" w:space="0" w:color="000000"/>
              <w:right w:val="single" w:sz="4" w:space="0" w:color="000000"/>
            </w:tcBorders>
            <w:vAlign w:val="bottom"/>
          </w:tcPr>
          <w:p w:rsidR="00764EB5" w:rsidRDefault="00DF13CC" w:rsidP="003D6B28">
            <w:pPr>
              <w:ind w:left="-57" w:right="-57"/>
              <w:rPr>
                <w:szCs w:val="26"/>
              </w:rPr>
            </w:pPr>
            <w:r>
              <w:rPr>
                <w:szCs w:val="26"/>
              </w:rPr>
              <w:t>NTHV -&gt; YDM -&gt; QDM</w:t>
            </w:r>
          </w:p>
        </w:tc>
        <w:tc>
          <w:tcPr>
            <w:tcW w:w="1417" w:type="dxa"/>
            <w:tcBorders>
              <w:bottom w:val="single" w:sz="4" w:space="0" w:color="000000"/>
              <w:right w:val="single" w:sz="4" w:space="0" w:color="000000"/>
            </w:tcBorders>
            <w:vAlign w:val="bottom"/>
          </w:tcPr>
          <w:p w:rsidR="00764EB5" w:rsidRDefault="00DF13CC" w:rsidP="003D6B28">
            <w:pPr>
              <w:ind w:left="-57" w:right="-57"/>
              <w:jc w:val="right"/>
              <w:rPr>
                <w:szCs w:val="26"/>
              </w:rPr>
            </w:pPr>
            <w:r>
              <w:rPr>
                <w:szCs w:val="26"/>
              </w:rPr>
              <w:t>0,088</w:t>
            </w:r>
          </w:p>
        </w:tc>
        <w:tc>
          <w:tcPr>
            <w:tcW w:w="1276" w:type="dxa"/>
            <w:tcBorders>
              <w:bottom w:val="single" w:sz="4" w:space="0" w:color="000000"/>
              <w:right w:val="single" w:sz="4" w:space="0" w:color="000000"/>
            </w:tcBorders>
            <w:vAlign w:val="bottom"/>
          </w:tcPr>
          <w:p w:rsidR="00764EB5" w:rsidRDefault="00DF13CC" w:rsidP="003D6B28">
            <w:pPr>
              <w:ind w:left="-57" w:right="-57" w:firstLine="0"/>
              <w:jc w:val="right"/>
              <w:rPr>
                <w:szCs w:val="26"/>
              </w:rPr>
            </w:pPr>
            <w:r>
              <w:rPr>
                <w:szCs w:val="26"/>
              </w:rPr>
              <w:t>0,087</w:t>
            </w:r>
          </w:p>
        </w:tc>
        <w:tc>
          <w:tcPr>
            <w:tcW w:w="1276" w:type="dxa"/>
            <w:tcBorders>
              <w:bottom w:val="single" w:sz="4" w:space="0" w:color="000000"/>
              <w:right w:val="single" w:sz="4" w:space="0" w:color="000000"/>
            </w:tcBorders>
            <w:vAlign w:val="bottom"/>
          </w:tcPr>
          <w:p w:rsidR="00764EB5" w:rsidRDefault="00DF13CC" w:rsidP="003D6B28">
            <w:pPr>
              <w:ind w:left="-57" w:right="-57" w:firstLine="0"/>
              <w:jc w:val="right"/>
              <w:rPr>
                <w:szCs w:val="26"/>
              </w:rPr>
            </w:pPr>
            <w:r>
              <w:rPr>
                <w:szCs w:val="26"/>
              </w:rPr>
              <w:t>0,034</w:t>
            </w:r>
          </w:p>
        </w:tc>
        <w:tc>
          <w:tcPr>
            <w:tcW w:w="1559" w:type="dxa"/>
            <w:tcBorders>
              <w:bottom w:val="single" w:sz="4" w:space="0" w:color="000000"/>
              <w:right w:val="single" w:sz="4" w:space="0" w:color="000000"/>
            </w:tcBorders>
            <w:vAlign w:val="bottom"/>
          </w:tcPr>
          <w:p w:rsidR="00764EB5" w:rsidRDefault="00DF13CC" w:rsidP="003D6B28">
            <w:pPr>
              <w:ind w:left="-57" w:right="-57"/>
              <w:jc w:val="right"/>
              <w:rPr>
                <w:szCs w:val="26"/>
              </w:rPr>
            </w:pPr>
            <w:r>
              <w:rPr>
                <w:szCs w:val="26"/>
              </w:rPr>
              <w:t>2,609</w:t>
            </w:r>
          </w:p>
        </w:tc>
        <w:tc>
          <w:tcPr>
            <w:tcW w:w="1298" w:type="dxa"/>
            <w:tcBorders>
              <w:bottom w:val="single" w:sz="4" w:space="0" w:color="000000"/>
              <w:right w:val="single" w:sz="4" w:space="0" w:color="000000"/>
            </w:tcBorders>
            <w:vAlign w:val="bottom"/>
          </w:tcPr>
          <w:p w:rsidR="00764EB5" w:rsidRDefault="00DF13CC" w:rsidP="003D6B28">
            <w:pPr>
              <w:ind w:left="-57" w:right="-57" w:firstLine="0"/>
              <w:jc w:val="right"/>
              <w:rPr>
                <w:szCs w:val="26"/>
              </w:rPr>
            </w:pPr>
            <w:r>
              <w:rPr>
                <w:szCs w:val="26"/>
              </w:rPr>
              <w:t>0,009</w:t>
            </w:r>
          </w:p>
        </w:tc>
      </w:tr>
    </w:tbl>
    <w:p w:rsidR="00764EB5" w:rsidRDefault="00764EB5" w:rsidP="003D6B28">
      <w:pPr>
        <w:pStyle w:val="DMB"/>
        <w:rPr>
          <w:i w:val="0"/>
        </w:rPr>
      </w:pPr>
    </w:p>
    <w:p w:rsidR="00764EB5" w:rsidRDefault="00DF13CC" w:rsidP="003D6B28">
      <w:pPr>
        <w:rPr>
          <w:color w:val="auto"/>
        </w:rPr>
      </w:pPr>
      <w:r>
        <w:rPr>
          <w:color w:val="auto"/>
        </w:rPr>
        <w:t>Kết quả cho thấy các tác động gián tiếp TD -&gt; YDM -&gt; QDM (0,159), CCQ -&gt; YDM -&gt; QDM (0,176), GTCN -&gt; YDM -&gt; QDM (0,177) và NTHV -&gt; YDM -&gt; QDM (0,088) đều dương và có ý nghĩa thống kê. GTCN và CCQ có tác động gián tiếp gần tương đương; NTHV có tác động gián tiếp thấp hơn các biến còn lại.</w:t>
      </w:r>
    </w:p>
    <w:p w:rsidR="00764EB5" w:rsidRDefault="00DF13CC" w:rsidP="003D6B28">
      <w:pPr>
        <w:rPr>
          <w:color w:val="auto"/>
        </w:rPr>
      </w:pPr>
      <w:r>
        <w:rPr>
          <w:color w:val="auto"/>
        </w:rPr>
        <w:t>Kết quả cho thấy các tác động gián tiếp từ TD, CCQ, NTHV và GTCN đến QDM thông qua YDM đều có ý nghĩa thống kê trong cấu trúc mô hình đã kiểm định. Tuy nhiên, mô hình không ước lượng các đường tác động trực tiếp từ từng biến tiền đề đến QDM. Vì vậy, luận án chỉ kết luận về ý nghĩa của các tác động gián tiếp qua YDM và không phân loại YDM là biến trung gian toàn phần hay trung gian một phần; việc phân loại như vậy chỉ phù hợp khi đồng thời kiểm định các tác động trực tiếp, gián tiếp và tổng tác động.</w:t>
      </w:r>
    </w:p>
    <w:p w:rsidR="00764EB5" w:rsidRPr="007B644D" w:rsidRDefault="00DF13CC" w:rsidP="003D6B28">
      <w:pPr>
        <w:rPr>
          <w:color w:val="auto"/>
          <w:spacing w:val="-4"/>
        </w:rPr>
      </w:pPr>
      <w:r w:rsidRPr="007B644D">
        <w:rPr>
          <w:color w:val="auto"/>
          <w:spacing w:val="-4"/>
        </w:rPr>
        <w:t>Cách diễn giải này bảo đảm phù hợp với dữ liệu hiện có và không làm thay đổi kết quả kiểm định tác động gián tiếp. Nghiên cứu tiếp theo có thể bổ sung các đường trực tiếp và áp dụng quy trình phân loại trung gian phù hợp để làm rõ hơn cơ chế tác động.</w:t>
      </w:r>
    </w:p>
    <w:p w:rsidR="00764EB5" w:rsidRPr="007B644D" w:rsidRDefault="00DF13CC" w:rsidP="007B644D">
      <w:pPr>
        <w:pStyle w:val="Heading2"/>
      </w:pPr>
      <w:bookmarkStart w:id="582" w:name="_Toc238480649"/>
      <w:bookmarkStart w:id="583" w:name="_Toc241062487"/>
      <w:bookmarkStart w:id="584" w:name="_Toc241064426"/>
      <w:bookmarkStart w:id="585" w:name="_Toc241065359"/>
      <w:bookmarkStart w:id="586" w:name="_Toc241065577"/>
      <w:r w:rsidRPr="007B644D">
        <w:t>4.3. Thảo luận kết quả phân tích</w:t>
      </w:r>
      <w:bookmarkEnd w:id="582"/>
      <w:bookmarkEnd w:id="583"/>
      <w:bookmarkEnd w:id="584"/>
      <w:bookmarkEnd w:id="585"/>
      <w:bookmarkEnd w:id="586"/>
      <w:r w:rsidRPr="007B644D">
        <w:t xml:space="preserve"> </w:t>
      </w:r>
    </w:p>
    <w:p w:rsidR="00764EB5" w:rsidRDefault="00DF13CC" w:rsidP="00021C6B">
      <w:pPr>
        <w:pStyle w:val="Heading3"/>
      </w:pPr>
      <w:bookmarkStart w:id="587" w:name="_Toc241062488"/>
      <w:bookmarkStart w:id="588" w:name="_Toc241064427"/>
      <w:bookmarkStart w:id="589" w:name="_Toc241065360"/>
      <w:bookmarkStart w:id="590" w:name="_Toc241065578"/>
      <w:bookmarkStart w:id="591" w:name="_Toc238480650"/>
      <w:r>
        <w:t>4.3.1.Thảo luận tác động của các yếu tố trong phân tích mô hình</w:t>
      </w:r>
      <w:bookmarkEnd w:id="587"/>
      <w:bookmarkEnd w:id="588"/>
      <w:bookmarkEnd w:id="589"/>
      <w:bookmarkEnd w:id="590"/>
    </w:p>
    <w:bookmarkEnd w:id="591"/>
    <w:p w:rsidR="00764EB5" w:rsidRDefault="00DF13CC" w:rsidP="003D6B28">
      <w:pPr>
        <w:ind w:firstLine="0"/>
        <w:rPr>
          <w:i/>
          <w:color w:val="auto"/>
        </w:rPr>
      </w:pPr>
      <w:r>
        <w:rPr>
          <w:i/>
          <w:color w:val="auto"/>
        </w:rPr>
        <w:t>4.3.1.1.Thảo luận tác động của thái độ đén ý định mua</w:t>
      </w:r>
    </w:p>
    <w:p w:rsidR="00764EB5" w:rsidRDefault="00DF13CC" w:rsidP="003D6B28">
      <w:pPr>
        <w:rPr>
          <w:color w:val="auto"/>
        </w:rPr>
      </w:pPr>
      <w:r>
        <w:rPr>
          <w:color w:val="auto"/>
        </w:rPr>
        <w:t xml:space="preserve">Kết quả H1 cho thấy TD có quan hệ dương với YDM với β = 0,271 và p &lt; 0,001. Phát hiện này phù hợp với TPB của Ajzen (1991), theo đó khi cá nhân đánh giá một hành vi là tích cực, có lợi hoặc phù hợp, khả năng hình thành ý định thực hiện hành vi đó sẽ tăng lên. Kết quả cũng nhất quán với tổng hợp của Armitage và </w:t>
      </w:r>
      <w:r>
        <w:rPr>
          <w:color w:val="auto"/>
        </w:rPr>
        <w:lastRenderedPageBreak/>
        <w:t>Conner (2001) về vai trò của thái độ trong dự báo ý định hành vi và phù hợp với bằng chứng trong bối cảnh căn hộ tại Việt Nam của Pham Dinh et al. (2022).</w:t>
      </w:r>
    </w:p>
    <w:p w:rsidR="00764EB5" w:rsidRDefault="00DF13CC" w:rsidP="003D6B28">
      <w:pPr>
        <w:rPr>
          <w:color w:val="auto"/>
        </w:rPr>
      </w:pPr>
      <w:r>
        <w:rPr>
          <w:color w:val="auto"/>
        </w:rPr>
        <w:t>Tuy nhiên, giá trị của kết quả không chỉ nằm ở việc xác nhận một quan hệ đã được TPB dự đoán. Trong bối cảnh căn hộ chung cư, TD phải được đặt trong mối quan hệ với một quyết định có giá trị tài chính lớn và thời gian cam kết dài. Đối với các quyết định tiêu dùng thông thường, một thái độ tích cực có thể nhanh chóng dẫn đến ý định hoặc hành động; đối với bất động sản, quá trình này phức tạp hơn vì còn chịu sự ràng buộc của giá trị sản phẩm, khả năng tài chính và môi trường xã hội.</w:t>
      </w:r>
    </w:p>
    <w:p w:rsidR="00764EB5" w:rsidRDefault="00DF13CC" w:rsidP="003D6B28">
      <w:pPr>
        <w:rPr>
          <w:color w:val="auto"/>
        </w:rPr>
      </w:pPr>
      <w:r>
        <w:rPr>
          <w:color w:val="auto"/>
        </w:rPr>
        <w:t>Việc TD có β = 0,271, thấp hơn một chút so với GTCN và CCQ, cho thấy đánh giá tích cực đối với hành vi mua là cần thiết nhưng chưa đủ. Một người có thể cho rằng việc sở hữu căn hộ là lựa chọn phù hợp về dài hạn, song vẫn chưa hình thành YDM mạnh nếu căn hộ cụ thể chưa đem lại GTCN tương xứng hoặc các thành viên quan trọng trong gia đình chưa đồng thuận.</w:t>
      </w:r>
    </w:p>
    <w:p w:rsidR="00764EB5" w:rsidRDefault="00DF13CC" w:rsidP="003D6B28">
      <w:pPr>
        <w:rPr>
          <w:color w:val="auto"/>
        </w:rPr>
      </w:pPr>
      <w:r>
        <w:rPr>
          <w:color w:val="auto"/>
        </w:rPr>
        <w:t>Kết quả này còn giúp làm rõ sự khác biệt giữa TD và GTCN vốn được xác lập tại Chương 2. TD phản ánh đánh giá thuận lợi hay bất lợi đối với hành vi mua; GTCN phản ánh đánh giá tổng hợp đối với giá trị của căn hộ. Việc cả hai cùng có ý nghĩa và VIF thấp cho thấy dữ liệu hỗ trợ việc duy trì hai cấu trúc độc lập.</w:t>
      </w:r>
    </w:p>
    <w:p w:rsidR="00764EB5" w:rsidRPr="006575F3" w:rsidRDefault="00DF13CC" w:rsidP="00021C6B">
      <w:pPr>
        <w:pStyle w:val="Heading3"/>
        <w:rPr>
          <w:b w:val="0"/>
        </w:rPr>
      </w:pPr>
      <w:bookmarkStart w:id="592" w:name="_Toc238480651"/>
      <w:bookmarkStart w:id="593" w:name="_Toc241062489"/>
      <w:bookmarkStart w:id="594" w:name="_Toc241064428"/>
      <w:bookmarkStart w:id="595" w:name="_Toc241065361"/>
      <w:bookmarkStart w:id="596" w:name="_Toc241065579"/>
      <w:r w:rsidRPr="006575F3">
        <w:rPr>
          <w:b w:val="0"/>
        </w:rPr>
        <w:t>4.3.1.2. Thảo luận tác động của Chuẩn chủ quan đến Ý định mua</w:t>
      </w:r>
      <w:bookmarkEnd w:id="592"/>
      <w:bookmarkEnd w:id="593"/>
      <w:bookmarkEnd w:id="594"/>
      <w:bookmarkEnd w:id="595"/>
      <w:bookmarkEnd w:id="596"/>
    </w:p>
    <w:p w:rsidR="00764EB5" w:rsidRDefault="00DF13CC" w:rsidP="003D6B28">
      <w:pPr>
        <w:rPr>
          <w:color w:val="auto"/>
        </w:rPr>
      </w:pPr>
      <w:r>
        <w:rPr>
          <w:color w:val="auto"/>
        </w:rPr>
        <w:t>CCQ có β = 0,300, p &lt; 0,001 và f² = 0,154. Xét riêng f², CCQ tạo ra mức đóng góp riêng lớn nhất trong bốn biến dự báo YDM.</w:t>
      </w:r>
    </w:p>
    <w:p w:rsidR="00764EB5" w:rsidRPr="007B644D" w:rsidRDefault="00DF13CC" w:rsidP="003D6B28">
      <w:pPr>
        <w:rPr>
          <w:color w:val="auto"/>
          <w:spacing w:val="-4"/>
        </w:rPr>
      </w:pPr>
      <w:r w:rsidRPr="007B644D">
        <w:rPr>
          <w:color w:val="auto"/>
          <w:spacing w:val="-4"/>
        </w:rPr>
        <w:t>Kết quả này đặc biệt đáng chú ý khi đặt trong bối cảnh tổng quan Chương 1. Các nghiên cứu về TPB không phải lúc nào cũng thống nhất về vai trò của chuẩn chủ quan. Trong một số bối cảnh mang tính cá nhân cao, CCQ có thể có ảnh hưởng tương đối yếu; tuy nhiên, đối với mua nhà, Levy et al.(2008) cho thấy quyết định thường là kết quả của tương tác giữa các thành viên hộ gia đình. Pham Dinh et al. (2022) cũng cung cấp bằng chứng về vai trò của chuẩn chủ quan trong ý định mua căn hộ tại Việt Nam.</w:t>
      </w:r>
    </w:p>
    <w:p w:rsidR="00764EB5" w:rsidRDefault="00DF13CC" w:rsidP="003D6B28">
      <w:pPr>
        <w:rPr>
          <w:color w:val="auto"/>
        </w:rPr>
      </w:pPr>
      <w:r>
        <w:rPr>
          <w:color w:val="auto"/>
        </w:rPr>
        <w:t xml:space="preserve">Kết quả của luận án cho thấy sự phát triển của công nghệ và khả năng tiếp cận thông tin không đồng nghĩa với quá trình ra quyết định trở nên hoàn toàn cá nhân hóa. Một người có thể tự tìm kiếm thông tin trên Internet và tự so sánh các dự án, </w:t>
      </w:r>
      <w:r>
        <w:rPr>
          <w:color w:val="auto"/>
        </w:rPr>
        <w:lastRenderedPageBreak/>
        <w:t>nhưng một giao dịch có giá trị lớn vẫn có thể cần sự đồng thuận của vợ/chồng, sự hỗ trợ tài chính từ gia đình hoặc sự xác nhận từ những người có kinh nghiệm.</w:t>
      </w:r>
    </w:p>
    <w:p w:rsidR="00764EB5" w:rsidRDefault="00DF13CC" w:rsidP="003D6B28">
      <w:pPr>
        <w:rPr>
          <w:color w:val="auto"/>
        </w:rPr>
      </w:pPr>
      <w:r>
        <w:rPr>
          <w:color w:val="auto"/>
        </w:rPr>
        <w:t>Cơ cấu mẫu cũng tạo ra bối cảnh phù hợp cho kết quả này: chỉ 47,9% người trả lời được xác định là người quyết định chính, trong khi 52,1% tham gia vào quá trình quyết định. Điều này không phải bằng chứng kiểm định CCQ nhưng cho thấy quyết định mua căn hộ trong mẫu có tính tương tác tương đối rõ.</w:t>
      </w:r>
    </w:p>
    <w:p w:rsidR="00764EB5" w:rsidRDefault="00DF13CC" w:rsidP="003D6B28">
      <w:pPr>
        <w:rPr>
          <w:color w:val="auto"/>
        </w:rPr>
      </w:pPr>
      <w:r>
        <w:rPr>
          <w:color w:val="auto"/>
        </w:rPr>
        <w:t>Vì vậy, kết quả CCQ không nên chỉ được diễn giải là “gia đình và bạn bè có ảnh hưởng”. Ở cấp độ sâu hơn, nó cho thấy quyết định mua căn hộ là một quá trình thương lượng xã hội về lợi ích, nguồn lực và rủi ro của hộ gia đình.</w:t>
      </w:r>
    </w:p>
    <w:p w:rsidR="00764EB5" w:rsidRDefault="00DF13CC" w:rsidP="003D6B28">
      <w:pPr>
        <w:rPr>
          <w:color w:val="auto"/>
        </w:rPr>
      </w:pPr>
      <w:r>
        <w:rPr>
          <w:color w:val="auto"/>
        </w:rPr>
        <w:t>Một người có Ý định mua có thể phải cân đối giữa mong muốn cá nhân với lợi ích của các thành viên khác, giữa mức độ chấp nhận rủi ro của bản thân với mức độ chấp nhận của người cùng chịu nghĩa vụ tài chính. Chính đặc điểm đó làm cho CCQ có thể giữ một vị trí đáng kể trong hành vi mua bất động sản ở Việt Nam.</w:t>
      </w:r>
    </w:p>
    <w:p w:rsidR="00764EB5" w:rsidRPr="006575F3" w:rsidRDefault="00DF13CC" w:rsidP="00021C6B">
      <w:pPr>
        <w:pStyle w:val="Heading3"/>
        <w:rPr>
          <w:b w:val="0"/>
        </w:rPr>
      </w:pPr>
      <w:bookmarkStart w:id="597" w:name="_Toc238480652"/>
      <w:bookmarkStart w:id="598" w:name="_Toc241062490"/>
      <w:bookmarkStart w:id="599" w:name="_Toc241064429"/>
      <w:bookmarkStart w:id="600" w:name="_Toc241065362"/>
      <w:bookmarkStart w:id="601" w:name="_Toc241065580"/>
      <w:r w:rsidRPr="006575F3">
        <w:rPr>
          <w:b w:val="0"/>
        </w:rPr>
        <w:t xml:space="preserve">4.3.1.3. Thảo luận tác động của Nhận thức kiểm soát hành vi đến </w:t>
      </w:r>
      <w:r w:rsidR="004B4C67" w:rsidRPr="006575F3">
        <w:rPr>
          <w:b w:val="0"/>
        </w:rPr>
        <w:t>Ý</w:t>
      </w:r>
      <w:r w:rsidRPr="006575F3">
        <w:rPr>
          <w:b w:val="0"/>
        </w:rPr>
        <w:t xml:space="preserve"> định mua</w:t>
      </w:r>
      <w:bookmarkEnd w:id="597"/>
      <w:bookmarkEnd w:id="598"/>
      <w:bookmarkEnd w:id="599"/>
      <w:bookmarkEnd w:id="600"/>
      <w:bookmarkEnd w:id="601"/>
    </w:p>
    <w:p w:rsidR="00764EB5" w:rsidRDefault="00DF13CC" w:rsidP="003D6B28">
      <w:pPr>
        <w:rPr>
          <w:color w:val="auto"/>
        </w:rPr>
      </w:pPr>
      <w:r>
        <w:rPr>
          <w:color w:val="auto"/>
        </w:rPr>
        <w:t>NTHV có β = 0,150, p = 0,011 và f² = 0,033. Đây là biến có hệ số và kích thước ảnh hưởng thấp nhất trong bốn yếu tố tiền đề nhưng vẫn có ý nghĩa thống kê. Nếu chỉ quan sát thứ tự hệ số, có thể hình thành nhận định rằng khả năng tài chính ít quan trọng đối với người mua căn hộ. Tuy nhiên, cách diễn giải này không phù hợp.</w:t>
      </w:r>
    </w:p>
    <w:p w:rsidR="00764EB5" w:rsidRDefault="00DF13CC" w:rsidP="003D6B28">
      <w:pPr>
        <w:rPr>
          <w:color w:val="auto"/>
        </w:rPr>
      </w:pPr>
      <w:r>
        <w:rPr>
          <w:color w:val="auto"/>
        </w:rPr>
        <w:t>Trước hết, NTHV trong TPB không phải một biến “thu nhập”. Nó phản ánh mức độ cá nhân cảm thấy mình có đủ nguồn lực, cơ hội và khả năng kiểm soát để thực hiện hành vi (Ajzen, 1991). Đối với mua căn hộ, cảm nhận này có thể bao gồm khả năng tài chính, khả năng vay, hiểu biết quy trình và mức độ chủ động trước các điều kiện giao dịch.</w:t>
      </w:r>
    </w:p>
    <w:p w:rsidR="00764EB5" w:rsidRDefault="00DF13CC" w:rsidP="003D6B28">
      <w:pPr>
        <w:rPr>
          <w:color w:val="auto"/>
        </w:rPr>
      </w:pPr>
      <w:r>
        <w:rPr>
          <w:color w:val="auto"/>
        </w:rPr>
        <w:t>Thứ hai, mẫu nghiên cứu không phải mẫu ngẫu nhiên của toàn bộ dân cư. Phần lớn người trả lời đã có một mức nguồn lực nhất định và có quan tâm thực tế đến căn hộ. Như đã phân tích, khoảng 95% người trả lời thuộc nhóm dự kiến sử dụng vốn tự có hoặc kết hợp vốn tự có với vay. Trong nhóm đã có khả năng tiếp cận thị trường, biến thiên về NTHV có thể thấp hơn so với toàn bộ dân số.</w:t>
      </w:r>
    </w:p>
    <w:p w:rsidR="00764EB5" w:rsidRDefault="00DF13CC" w:rsidP="003D6B28">
      <w:pPr>
        <w:rPr>
          <w:color w:val="auto"/>
        </w:rPr>
      </w:pPr>
      <w:r>
        <w:rPr>
          <w:color w:val="auto"/>
        </w:rPr>
        <w:t xml:space="preserve">Thứ ba, vai trò của tài chính có thể trở nên mạnh hơn ở giai đoạn từ Ý định mua đến hành vi giao dịch thực tế. Mô hình hiện tại kiểm định NTHV → YDM </w:t>
      </w:r>
      <w:r>
        <w:rPr>
          <w:color w:val="auto"/>
        </w:rPr>
        <w:lastRenderedPageBreak/>
        <w:t>nhưng không kiểm định NTHV → QDM hoặc NTHV → giao dịch hoàn tất. Vì vậy, kết quả hiện tại chỉ cho phép nói rằng NTHV có mức đóng góp riêng tương đối nhỏ vào sự hình thành Ý định mua, không phải rằng khả năng tài chính ít quan trọng đối với toàn bộ tiến trình mua nhà.</w:t>
      </w:r>
    </w:p>
    <w:p w:rsidR="00764EB5" w:rsidRDefault="00DF13CC" w:rsidP="003D6B28">
      <w:pPr>
        <w:rPr>
          <w:color w:val="auto"/>
        </w:rPr>
      </w:pPr>
      <w:r>
        <w:rPr>
          <w:color w:val="auto"/>
        </w:rPr>
        <w:t>Dữ liệu thứ cấp củng cố tính hợp lý của cách giải thích này. Năm 2025, báo cáo của Viện Kinh tế xây dựng – Bộ Xây dựng cho thấy thị trường có xu hướng phục hồi nhưng căn hộ có mức tổng giá khoảng 2 tỷ đồng gần như không còn phổ biến tại thành phố  Hồ Chí Minh và Hà Nội (Viện Kinh tế xây dựng - Bộ Xây dựng, 2026). Điều này cho thấy khả năng chi trả vẫn là một ràng buộc thực tế của thị trường.</w:t>
      </w:r>
    </w:p>
    <w:p w:rsidR="00764EB5" w:rsidRDefault="00DF13CC" w:rsidP="003D6B28">
      <w:pPr>
        <w:rPr>
          <w:color w:val="auto"/>
        </w:rPr>
      </w:pPr>
      <w:r>
        <w:rPr>
          <w:color w:val="auto"/>
        </w:rPr>
        <w:t>Do đó, kết quả NTHV nên được hiểu theo hướng: trong mẫu khảo sát, cảm nhận về khả năng kiểm soát có tác động tích cực đến Ý định mua nhưng mức đóng góp riêng thấp hơn các cơ chế đánh giá sản phẩm, thái độ và ảnh hưởng xã hội.</w:t>
      </w:r>
    </w:p>
    <w:p w:rsidR="00764EB5" w:rsidRPr="006575F3" w:rsidRDefault="00DF13CC" w:rsidP="00021C6B">
      <w:pPr>
        <w:pStyle w:val="Heading3"/>
        <w:rPr>
          <w:b w:val="0"/>
        </w:rPr>
      </w:pPr>
      <w:bookmarkStart w:id="602" w:name="_Toc238480653"/>
      <w:bookmarkStart w:id="603" w:name="_Toc241062491"/>
      <w:bookmarkStart w:id="604" w:name="_Toc241064430"/>
      <w:bookmarkStart w:id="605" w:name="_Toc241065363"/>
      <w:bookmarkStart w:id="606" w:name="_Toc241065581"/>
      <w:r w:rsidRPr="006575F3">
        <w:rPr>
          <w:b w:val="0"/>
        </w:rPr>
        <w:t>4.3.1.4. Thảo luận tác động của Giá trị cảm nhận căn hộ đến Ý định mua</w:t>
      </w:r>
      <w:bookmarkEnd w:id="602"/>
      <w:bookmarkEnd w:id="603"/>
      <w:bookmarkEnd w:id="604"/>
      <w:bookmarkEnd w:id="605"/>
      <w:bookmarkEnd w:id="606"/>
    </w:p>
    <w:p w:rsidR="00764EB5" w:rsidRDefault="00DF13CC" w:rsidP="003D6B28">
      <w:pPr>
        <w:rPr>
          <w:color w:val="auto"/>
        </w:rPr>
      </w:pPr>
      <w:r>
        <w:rPr>
          <w:color w:val="auto"/>
        </w:rPr>
        <w:t>GTCN có β = 0,303; p &lt; 0,001 và f² = 0,135. Kết quả xác nhận vai trò của việc đánh giá tổng thể căn hộ trong quá trình hình thành YDM. Theo Zeithaml (1988), giá trị cảm nhận xuất phát từ sự đánh giá tổng thể giữa những gì khách hàng nhận được và những gì phải bỏ ra. Trong một giao dịch căn hộ, “những gì phải bỏ ra” không chỉ là giá mua mà còn có thể bao gồm chi phí vốn, thời gian, mức độ bất định và rủi ro. “Những gì nhận được” cũng không chỉ là diện tích căn hộ mà bao gồm chất lượng sống, vị trí, kết nối, tiện ích, uy tín của dự án và khả năng duy trì giá trị dài hạn.</w:t>
      </w:r>
    </w:p>
    <w:p w:rsidR="00764EB5" w:rsidRDefault="00DF13CC" w:rsidP="003D6B28">
      <w:pPr>
        <w:rPr>
          <w:color w:val="auto"/>
        </w:rPr>
      </w:pPr>
      <w:r>
        <w:rPr>
          <w:color w:val="auto"/>
        </w:rPr>
        <w:t>Kết quả này làm rõ một vấn đề đã được nhận diện tại Chương 1. Nhiều nghiên cứu bất động sản trước đây tiếp cận giá, vị trí, tiện ích, pháp lý hoặc thương hiệu chủ đầu tư như các biến độc lập riêng biệt. Cách tiếp cận đó có ưu điểm về khả năng xác định tác động của từng thuộc tính nhưng có thể làm mô hình trở nên phân mảnh.</w:t>
      </w:r>
    </w:p>
    <w:p w:rsidR="00764EB5" w:rsidRDefault="00DF13CC" w:rsidP="003D6B28">
      <w:pPr>
        <w:rPr>
          <w:color w:val="auto"/>
        </w:rPr>
      </w:pPr>
      <w:r>
        <w:rPr>
          <w:color w:val="auto"/>
        </w:rPr>
        <w:t xml:space="preserve">Luận án tiếp cận khác: các thuộc tính được nhìn nhận trong quá trình hình thành một đánh giá tổng thể về GTCN. Vì vậy, kết quả β = 0,303 chỉ chứng minh </w:t>
      </w:r>
      <w:r>
        <w:rPr>
          <w:color w:val="auto"/>
        </w:rPr>
        <w:lastRenderedPageBreak/>
        <w:t>rằng GTCN tổng thể có quan hệ với YDM, không chứng minh vị trí, pháp lý, phong thủy hay uy tín chủ đầu tư có từng hệ số riêng.</w:t>
      </w:r>
    </w:p>
    <w:p w:rsidR="00764EB5" w:rsidRDefault="00DF13CC" w:rsidP="003D6B28">
      <w:pPr>
        <w:rPr>
          <w:color w:val="auto"/>
        </w:rPr>
      </w:pPr>
      <w:r>
        <w:rPr>
          <w:color w:val="auto"/>
        </w:rPr>
        <w:t>Đây là giới hạn nhưng đồng thời cũng là một giá trị về cách tiếp cận. Người mua trong thực tế hiếm khi ra quyết định dựa trên duy nhất một thuộc tính. Họ có thể chấp nhận vị trí xa hơn nếu giá phù hợp và kết nối tốt; chấp nhận giá cao hơn nếu pháp lý, chất lượng và môi trường sống mang lại giá trị tương xứng. GTCN phản ánh chính quá trình đánh đổi tổng hợp đó.</w:t>
      </w:r>
    </w:p>
    <w:p w:rsidR="00764EB5" w:rsidRDefault="00DF13CC" w:rsidP="003D6B28">
      <w:pPr>
        <w:rPr>
          <w:color w:val="auto"/>
        </w:rPr>
      </w:pPr>
      <w:r>
        <w:rPr>
          <w:color w:val="auto"/>
        </w:rPr>
        <w:t>Việc β của GTCN gần bằng CCQ nhưng f² thấp hơn CCQ còn cho thấy Ý định mua căn hộ được hình thành từ hai logic song song: logic đánh giá giá trị của sản phẩm và logic xã hội của quyết định hộ gia đình. Đây là một phát hiện có ý nghĩa hơn việc cố xác định một biến duy nhất là “mạnh nhất”.</w:t>
      </w:r>
    </w:p>
    <w:p w:rsidR="00764EB5" w:rsidRPr="007B644D" w:rsidRDefault="00DF13CC" w:rsidP="00021C6B">
      <w:pPr>
        <w:pStyle w:val="Heading3"/>
      </w:pPr>
      <w:bookmarkStart w:id="607" w:name="_Toc238480654"/>
      <w:bookmarkStart w:id="608" w:name="_Toc241062492"/>
      <w:bookmarkStart w:id="609" w:name="_Toc241064431"/>
      <w:bookmarkStart w:id="610" w:name="_Toc241065364"/>
      <w:bookmarkStart w:id="611" w:name="_Toc241065582"/>
      <w:r w:rsidRPr="007B644D">
        <w:t>4.3.2. Thảo luận mối quan hệ giữa Ý định mua và mức độ sẵn sàng ra quyết định mua</w:t>
      </w:r>
      <w:bookmarkEnd w:id="607"/>
      <w:bookmarkEnd w:id="608"/>
      <w:bookmarkEnd w:id="609"/>
      <w:bookmarkEnd w:id="610"/>
      <w:bookmarkEnd w:id="611"/>
    </w:p>
    <w:p w:rsidR="00764EB5" w:rsidRDefault="00DF13CC" w:rsidP="003D6B28">
      <w:pPr>
        <w:rPr>
          <w:color w:val="auto"/>
        </w:rPr>
      </w:pPr>
      <w:r>
        <w:rPr>
          <w:color w:val="auto"/>
        </w:rPr>
        <w:t>YDM → QDM có β = 0,586 và f² = 0,523, là quan hệ mạnh nhất trong mô hình. Kết quả phù hợp với TPB về vai trò gần của ý định đối với hành động (Ajzen, 1991). Tuy nhiên, điểm có giá trị học thuật hơn nằm ở việc YDM và QDM vừa có quan hệ mạnh vừa không đồng nhất.</w:t>
      </w:r>
    </w:p>
    <w:p w:rsidR="00764EB5" w:rsidRDefault="00DF13CC" w:rsidP="003D6B28">
      <w:pPr>
        <w:rPr>
          <w:color w:val="auto"/>
        </w:rPr>
      </w:pPr>
      <w:r>
        <w:rPr>
          <w:color w:val="auto"/>
        </w:rPr>
        <w:t>Giá trị phân biệt của hai cấu trúc đã được hỗ trợ bởi HTMT và Fornell–Larcker. Đồng thời, YDM chỉ giải thích 34,4% biến thiên của QDM. Như vậy, Ý định mua có vai trò quan trọng nhưng không giải thích hoàn toàn trạng thái sẵn sàng ra quyết định.</w:t>
      </w:r>
    </w:p>
    <w:p w:rsidR="00764EB5" w:rsidRDefault="00DF13CC" w:rsidP="003D6B28">
      <w:pPr>
        <w:rPr>
          <w:color w:val="auto"/>
        </w:rPr>
      </w:pPr>
      <w:r>
        <w:rPr>
          <w:color w:val="auto"/>
        </w:rPr>
        <w:t>Kết quả này trực tiếp trả lời khoảng trống đã xác định tại Chương 1 về việc nhiều nghiên cứu chưa phân biệt rõ “ý định”, “quyết định” và “hành vi”. Đối với căn hộ chung cư, khoảng cách giữa ý định và hành động có thể đặc biệt lớn do quy mô tài chính và sự phức tạp của giao dịch.</w:t>
      </w:r>
    </w:p>
    <w:p w:rsidR="00764EB5" w:rsidRDefault="00DF13CC" w:rsidP="003D6B28">
      <w:pPr>
        <w:rPr>
          <w:color w:val="auto"/>
        </w:rPr>
      </w:pPr>
      <w:r>
        <w:rPr>
          <w:color w:val="auto"/>
        </w:rPr>
        <w:t>Một khách hàng có thể có thái độ tích cực, đánh giá dự án có giá trị, nhận được sự ủng hộ của gia đình và hình thành YDM cao, nhưng vẫn chưa đạt QDM cao nếu chưa hoàn thành phương án tài chính, chưa tìm được căn phù hợp, chưa xác định được thời điểm mua hoặc còn lo ngại về tình trạng pháp lý.</w:t>
      </w:r>
    </w:p>
    <w:p w:rsidR="00764EB5" w:rsidRDefault="00DF13CC" w:rsidP="003D6B28">
      <w:pPr>
        <w:rPr>
          <w:color w:val="auto"/>
        </w:rPr>
      </w:pPr>
      <w:r>
        <w:rPr>
          <w:color w:val="auto"/>
        </w:rPr>
        <w:lastRenderedPageBreak/>
        <w:t>Do đó, kết quả cho thấy tiến trình mua căn hộ cần được nhìn nhận theo chuỗi: nhận thức và đánh giá → hình thành Ý định mua → đạt mức độ sẵn sàng ra quyết định → giao dịch thực tế.</w:t>
      </w:r>
    </w:p>
    <w:p w:rsidR="00764EB5" w:rsidRDefault="00DF13CC" w:rsidP="003D6B28">
      <w:pPr>
        <w:rPr>
          <w:color w:val="auto"/>
        </w:rPr>
      </w:pPr>
      <w:r>
        <w:rPr>
          <w:color w:val="auto"/>
        </w:rPr>
        <w:t>Luận án kiểm định đến bước thứ ba của tiến trình này chứ chưa quan sát trực tiếp giao dịch hoàn tất. Việc xác định đúng giới hạn giúp tránh phóng đại ý nghĩa của YDM → QDM.</w:t>
      </w:r>
    </w:p>
    <w:p w:rsidR="00764EB5" w:rsidRPr="007B644D" w:rsidRDefault="00DF13CC" w:rsidP="00021C6B">
      <w:pPr>
        <w:pStyle w:val="Heading3"/>
      </w:pPr>
      <w:bookmarkStart w:id="612" w:name="_Toc238480655"/>
      <w:bookmarkStart w:id="613" w:name="_Toc241062493"/>
      <w:bookmarkStart w:id="614" w:name="_Toc241064432"/>
      <w:bookmarkStart w:id="615" w:name="_Toc241065365"/>
      <w:bookmarkStart w:id="616" w:name="_Toc241065583"/>
      <w:r w:rsidRPr="007B644D">
        <w:t>4.3.3. Phân tích tổng hợp β, f² và R²</w:t>
      </w:r>
      <w:bookmarkEnd w:id="612"/>
      <w:bookmarkEnd w:id="613"/>
      <w:bookmarkEnd w:id="614"/>
      <w:bookmarkEnd w:id="615"/>
      <w:bookmarkEnd w:id="616"/>
    </w:p>
    <w:p w:rsidR="00764EB5" w:rsidRDefault="00DF13CC" w:rsidP="007B644D">
      <w:pPr>
        <w:spacing w:line="348" w:lineRule="auto"/>
        <w:rPr>
          <w:color w:val="auto"/>
        </w:rPr>
      </w:pPr>
      <w:r>
        <w:rPr>
          <w:color w:val="auto"/>
        </w:rPr>
        <w:t>Một điểm quan trọng cần được rút ra từ Chương 4 là không chỉ đọc từng hệ số riêng lẻ mà phải phân tích chúng trong một hệ thống. Xét β, thứ tự đối với YDM là GTCN (0,303), CCQ (0,300), TD (0,271) và NTHV (0,150). Xét f², thứ tự là CCQ (0,154), GTCN (0,135), TD (0,119) và NTHV (0,033).</w:t>
      </w:r>
    </w:p>
    <w:p w:rsidR="00764EB5" w:rsidRDefault="00DF13CC" w:rsidP="007B644D">
      <w:pPr>
        <w:spacing w:line="348" w:lineRule="auto"/>
        <w:rPr>
          <w:color w:val="auto"/>
        </w:rPr>
      </w:pPr>
      <w:r>
        <w:rPr>
          <w:color w:val="auto"/>
        </w:rPr>
        <w:t>Sự đảo vị trí giữa GTCN và CCQ cho thấy “hệ số đường dẫn cao hơn” không hoàn toàn đồng nghĩa với “mức đóng góp riêng lớn hơn”. Đây là cơ sở để luận án tránh một cách xếp hạng đơn tuyến.</w:t>
      </w:r>
    </w:p>
    <w:p w:rsidR="00764EB5" w:rsidRDefault="00DF13CC" w:rsidP="007B644D">
      <w:pPr>
        <w:spacing w:line="348" w:lineRule="auto"/>
        <w:rPr>
          <w:color w:val="auto"/>
        </w:rPr>
      </w:pPr>
      <w:r>
        <w:rPr>
          <w:color w:val="auto"/>
        </w:rPr>
        <w:t>Kết quả phù hợp hơn với cấu trúc ba tầng:</w:t>
      </w:r>
    </w:p>
    <w:p w:rsidR="00764EB5" w:rsidRDefault="00DF13CC" w:rsidP="007B644D">
      <w:pPr>
        <w:spacing w:line="348" w:lineRule="auto"/>
        <w:rPr>
          <w:color w:val="auto"/>
        </w:rPr>
      </w:pPr>
      <w:r>
        <w:rPr>
          <w:i/>
          <w:iCs/>
          <w:color w:val="auto"/>
        </w:rPr>
        <w:t xml:space="preserve">Ở tầng thứ nhất, </w:t>
      </w:r>
      <w:r>
        <w:rPr>
          <w:color w:val="auto"/>
        </w:rPr>
        <w:t>GTCN và CCQ là hai nguồn ảnh hưởng nổi bật và gần nhau, lần lượt đại diện cho giá trị sản phẩm và ảnh hưởng xã hội.</w:t>
      </w:r>
    </w:p>
    <w:p w:rsidR="00764EB5" w:rsidRDefault="00DF13CC" w:rsidP="007B644D">
      <w:pPr>
        <w:spacing w:line="348" w:lineRule="auto"/>
        <w:rPr>
          <w:color w:val="auto"/>
        </w:rPr>
      </w:pPr>
      <w:r>
        <w:rPr>
          <w:i/>
          <w:iCs/>
          <w:color w:val="auto"/>
        </w:rPr>
        <w:t>Ở tầng thứ hai,</w:t>
      </w:r>
      <w:r>
        <w:rPr>
          <w:color w:val="auto"/>
        </w:rPr>
        <w:t xml:space="preserve"> TD duy trì vai trò đáng kể của đánh giá cá nhân đối với hành vi.</w:t>
      </w:r>
    </w:p>
    <w:p w:rsidR="00764EB5" w:rsidRDefault="00DF13CC" w:rsidP="007B644D">
      <w:pPr>
        <w:spacing w:line="348" w:lineRule="auto"/>
        <w:rPr>
          <w:color w:val="auto"/>
        </w:rPr>
      </w:pPr>
      <w:r>
        <w:rPr>
          <w:i/>
          <w:iCs/>
          <w:color w:val="auto"/>
        </w:rPr>
        <w:t xml:space="preserve">Ở tầng thứ ba, </w:t>
      </w:r>
      <w:r>
        <w:rPr>
          <w:color w:val="auto"/>
        </w:rPr>
        <w:t>NTHV có quan hệ có ý nghĩa nhưng mức đóng góp riêng nhỏ hơn trong mẫu.</w:t>
      </w:r>
    </w:p>
    <w:p w:rsidR="00764EB5" w:rsidRDefault="00DF13CC" w:rsidP="007B644D">
      <w:pPr>
        <w:spacing w:line="348" w:lineRule="auto"/>
        <w:rPr>
          <w:color w:val="auto"/>
        </w:rPr>
      </w:pPr>
      <w:r>
        <w:rPr>
          <w:color w:val="auto"/>
        </w:rPr>
        <w:t>Tuy nhiên, toàn bộ bốn cấu trúc mới giải thích 45,7% YDM. Do đó, không có yếu tố nào đủ khả năng một mình giải thích Ý định mua. Đây là đặc trưng phù hợp với một quyết định phức tạp và cho thấy hàm ý quản trị cần có tính tích hợp thay vì tập trung duy nhất vào một biến.</w:t>
      </w:r>
    </w:p>
    <w:p w:rsidR="00764EB5" w:rsidRPr="007B644D" w:rsidRDefault="00DF13CC" w:rsidP="00021C6B">
      <w:pPr>
        <w:pStyle w:val="Heading3"/>
      </w:pPr>
      <w:bookmarkStart w:id="617" w:name="_Toc238480656"/>
      <w:bookmarkStart w:id="618" w:name="_Toc241062494"/>
      <w:bookmarkStart w:id="619" w:name="_Toc241064433"/>
      <w:bookmarkStart w:id="620" w:name="_Toc241065366"/>
      <w:bookmarkStart w:id="621" w:name="_Toc241065584"/>
      <w:r w:rsidRPr="007B644D">
        <w:t>4.3.4. Đối chiếu kết quả phân tích với  dữ liệu thứ cấp của thị trường</w:t>
      </w:r>
      <w:bookmarkEnd w:id="617"/>
      <w:r w:rsidRPr="007B644D">
        <w:t xml:space="preserve"> và khoảng trống</w:t>
      </w:r>
      <w:bookmarkEnd w:id="618"/>
      <w:bookmarkEnd w:id="619"/>
      <w:bookmarkEnd w:id="620"/>
      <w:bookmarkEnd w:id="621"/>
      <w:r w:rsidRPr="007B644D">
        <w:t xml:space="preserve"> </w:t>
      </w:r>
    </w:p>
    <w:p w:rsidR="00764EB5" w:rsidRDefault="00DF13CC" w:rsidP="007B644D">
      <w:pPr>
        <w:spacing w:line="348" w:lineRule="auto"/>
        <w:ind w:firstLine="0"/>
        <w:rPr>
          <w:i/>
        </w:rPr>
      </w:pPr>
      <w:r>
        <w:rPr>
          <w:i/>
        </w:rPr>
        <w:t>4.3.4.1. Đối chiếu kết quả phân tích với  dữ liệu thứ cấp của thị trường</w:t>
      </w:r>
    </w:p>
    <w:p w:rsidR="00764EB5" w:rsidRDefault="00DF13CC" w:rsidP="007B644D">
      <w:pPr>
        <w:spacing w:line="348" w:lineRule="auto"/>
        <w:rPr>
          <w:color w:val="auto"/>
        </w:rPr>
      </w:pPr>
      <w:r>
        <w:rPr>
          <w:color w:val="auto"/>
        </w:rPr>
        <w:t>Việc đối chiếu kết quả thực nghiệm với dữ liệu thứ cấp giúp đánh giá mức độ hợp lý về bối cảnh, nhưng các số liệu thị trường không được xem là một phép kiểm định độc lập đối với mô hình PLS-SEM.</w:t>
      </w:r>
    </w:p>
    <w:p w:rsidR="00764EB5" w:rsidRDefault="00DF13CC" w:rsidP="007B644D">
      <w:pPr>
        <w:spacing w:line="348" w:lineRule="auto"/>
        <w:rPr>
          <w:color w:val="auto"/>
        </w:rPr>
      </w:pPr>
      <w:r>
        <w:rPr>
          <w:color w:val="auto"/>
        </w:rPr>
        <w:lastRenderedPageBreak/>
        <w:t xml:space="preserve">Theo Điều tra dân số và nhà ở giữa kỳ năm 2024, Đông Nam Bộ có mật độ dân số 814 người/km² và là vùng có tốc độ tăng dân số bình quân giai đoạn 2019–2024 cao nhất cả nước, đạt 1,46%/năm. Đồng thời, 10,7% hộ tại vùng đang sống trong nhà/căn hộ có diện tích dưới 8 m²/người, cao nhất trong các vùng kinh tế – xã hội (Tổng cục Thống kê, 2025). </w:t>
      </w:r>
    </w:p>
    <w:p w:rsidR="00764EB5" w:rsidRDefault="00DF13CC" w:rsidP="007B644D">
      <w:pPr>
        <w:spacing w:line="353" w:lineRule="auto"/>
        <w:rPr>
          <w:color w:val="auto"/>
        </w:rPr>
      </w:pPr>
      <w:r>
        <w:rPr>
          <w:color w:val="auto"/>
        </w:rPr>
        <w:t>Các số liệu này cho thấy nhu cầu cải thiện điều kiện nhà ở và sức ép đô thị tại Đông Nam Bộ có cơ sở thực tế. Tuy nhiên, sự tồn tại của nhu cầu không đồng nghĩa với mọi nhu cầu đều chuyển thành giao dịch.</w:t>
      </w:r>
    </w:p>
    <w:p w:rsidR="00764EB5" w:rsidRDefault="00DF13CC" w:rsidP="007B644D">
      <w:pPr>
        <w:spacing w:line="353" w:lineRule="auto"/>
        <w:rPr>
          <w:color w:val="auto"/>
        </w:rPr>
      </w:pPr>
      <w:r>
        <w:rPr>
          <w:color w:val="auto"/>
        </w:rPr>
        <w:t>Ở chiều thị trường, dữ liệu năm 2025 cho thấy hoạt động kinh doanh bất động sản có sự phục hồi, trong khi giao dịch căn hộ thứ cấp tại TP. Hồ Chí Minh tăng và tỷ lệ hấp thụ cải thiện so với năm trước . Đồng thời, nguồn cung căn hộ có mức giá phù hợp với nhóm thu nhập trung bình vẫn còn hạn chế. Viện Kinh tế xây dựng ghi nhận căn hộ có mức tổng giá khoảng 2 tỷ đồng gần như không còn phổ biến tại hai đô thị lớn (Viện Kinh tế xây dựng - Bộ Xây dựng, 2026).</w:t>
      </w:r>
    </w:p>
    <w:p w:rsidR="00764EB5" w:rsidRDefault="00DF13CC" w:rsidP="007B644D">
      <w:pPr>
        <w:spacing w:line="353" w:lineRule="auto"/>
        <w:rPr>
          <w:color w:val="auto"/>
        </w:rPr>
      </w:pPr>
      <w:r>
        <w:rPr>
          <w:color w:val="auto"/>
        </w:rPr>
        <w:t>CBRE Việt Nam ghi nhận trong năm 2025, phạm vi thành phố. Hồ Chí Minh trước sắp xếp có 3.135 căn hộ chung cư chào bán mới (CBRE Việt Nam, 2026a).</w:t>
      </w:r>
    </w:p>
    <w:p w:rsidR="00764EB5" w:rsidRDefault="00DF13CC" w:rsidP="007B644D">
      <w:pPr>
        <w:spacing w:line="353" w:lineRule="auto"/>
        <w:rPr>
          <w:color w:val="auto"/>
        </w:rPr>
      </w:pPr>
      <w:r>
        <w:rPr>
          <w:color w:val="auto"/>
        </w:rPr>
        <w:t>Ba nhóm dữ liệu trên tạo ra một bối cảnh đáng chú ý: nhu cầu nhà ở có nền tảng tương đối lớn, thị trường có sự phục hồi nhưng nguồn cung phù hợp khả năng chi trả vẫn còn hạn chế.</w:t>
      </w:r>
    </w:p>
    <w:p w:rsidR="00764EB5" w:rsidRDefault="00DF13CC" w:rsidP="007B644D">
      <w:pPr>
        <w:spacing w:line="353" w:lineRule="auto"/>
        <w:rPr>
          <w:color w:val="auto"/>
        </w:rPr>
      </w:pPr>
      <w:r>
        <w:rPr>
          <w:color w:val="auto"/>
        </w:rPr>
        <w:t>Bối cảnh này nhất quán với kết quả nghiên cứu theo một số phương diện.</w:t>
      </w:r>
    </w:p>
    <w:p w:rsidR="00764EB5" w:rsidRDefault="00DF13CC" w:rsidP="007B644D">
      <w:pPr>
        <w:spacing w:line="353" w:lineRule="auto"/>
        <w:rPr>
          <w:color w:val="auto"/>
        </w:rPr>
      </w:pPr>
      <w:r>
        <w:rPr>
          <w:i/>
          <w:iCs/>
          <w:color w:val="auto"/>
        </w:rPr>
        <w:t>Thứ nhất,</w:t>
      </w:r>
      <w:r>
        <w:rPr>
          <w:color w:val="auto"/>
        </w:rPr>
        <w:t xml:space="preserve"> GTCN có ý nghĩa bởi trong điều kiện giá và nguồn cung phân hóa, người mua phải cân nhắc kỹ mối tương quan giữa giá phải trả và lợi ích nhận được.</w:t>
      </w:r>
    </w:p>
    <w:p w:rsidR="00764EB5" w:rsidRDefault="00DF13CC" w:rsidP="007B644D">
      <w:pPr>
        <w:spacing w:line="353" w:lineRule="auto"/>
        <w:rPr>
          <w:color w:val="auto"/>
        </w:rPr>
      </w:pPr>
      <w:r>
        <w:rPr>
          <w:i/>
          <w:iCs/>
          <w:color w:val="auto"/>
        </w:rPr>
        <w:t>Thứ hai,</w:t>
      </w:r>
      <w:r>
        <w:rPr>
          <w:color w:val="auto"/>
        </w:rPr>
        <w:t xml:space="preserve"> NTHV có ý nghĩa bởi sự tồn tại của nhu cầu chưa đồng nghĩa với khả năng thực hiện giao dịch; khả năng huy động nguồn lực và kiểm soát nghĩa vụ tài chính vẫn là điều kiện cần.</w:t>
      </w:r>
    </w:p>
    <w:p w:rsidR="00764EB5" w:rsidRDefault="00DF13CC" w:rsidP="006575F3">
      <w:pPr>
        <w:spacing w:line="353" w:lineRule="auto"/>
        <w:rPr>
          <w:color w:val="auto"/>
        </w:rPr>
      </w:pPr>
      <w:r>
        <w:rPr>
          <w:i/>
          <w:iCs/>
          <w:color w:val="auto"/>
        </w:rPr>
        <w:t>Thứ ba,</w:t>
      </w:r>
      <w:r>
        <w:rPr>
          <w:color w:val="auto"/>
        </w:rPr>
        <w:t xml:space="preserve"> YDM có tác động mạnh đến QDM nhưng R² của QDM chỉ bằng 0,344, cho thấy từ ý định đến trạng thái sẵn sàng giao dịch vẫn tồn tại khoảng cách mà các yếu tố thị trường có thể góp phần giải thích.</w:t>
      </w:r>
    </w:p>
    <w:p w:rsidR="007B644D" w:rsidRDefault="00DF13CC" w:rsidP="006575F3">
      <w:pPr>
        <w:spacing w:line="353" w:lineRule="auto"/>
        <w:rPr>
          <w:color w:val="auto"/>
        </w:rPr>
      </w:pPr>
      <w:r>
        <w:rPr>
          <w:color w:val="auto"/>
        </w:rPr>
        <w:t>Như vậy, dữ liệu thứ cấp không được sử dụng để “chứng minh” β của mô hình là đúng, mà được sử dụng để cho thấy các cơ chế được phát hiện trong khảo sát có tính hợp lý khi đặt trong bối cảnh thị trường thực tế.</w:t>
      </w:r>
      <w:bookmarkStart w:id="622" w:name="_Toc238480661"/>
    </w:p>
    <w:p w:rsidR="007B644D" w:rsidRPr="007B644D" w:rsidRDefault="00DF13CC" w:rsidP="006575F3">
      <w:pPr>
        <w:spacing w:line="353" w:lineRule="auto"/>
        <w:ind w:firstLine="0"/>
        <w:rPr>
          <w:i/>
        </w:rPr>
      </w:pPr>
      <w:r w:rsidRPr="007B644D">
        <w:rPr>
          <w:i/>
        </w:rPr>
        <w:lastRenderedPageBreak/>
        <w:t>4.3.4.2. Đối chiếu kết quả nghiên cứu với các khoảng trống đã xác định</w:t>
      </w:r>
      <w:bookmarkStart w:id="623" w:name="_Toc238480662"/>
      <w:bookmarkEnd w:id="622"/>
    </w:p>
    <w:p w:rsidR="007B644D" w:rsidRDefault="00DF13CC" w:rsidP="006575F3">
      <w:pPr>
        <w:spacing w:line="353" w:lineRule="auto"/>
      </w:pPr>
      <w:r>
        <w:t>(1) Đối chiếu với khoảng trống về nội dung và cách tiếp cận</w:t>
      </w:r>
      <w:bookmarkEnd w:id="623"/>
    </w:p>
    <w:p w:rsidR="00764EB5" w:rsidRDefault="00DF13CC" w:rsidP="006575F3">
      <w:pPr>
        <w:spacing w:line="353" w:lineRule="auto"/>
      </w:pPr>
      <w:r>
        <w:t>Chương 1 cho thấy các nghiên cứu trước về mua căn hộ thường phát triển theo hai hướng tương đối rõ: hướng dựa trên các lý thuyết hành vi như TPB và hướng tập trung vào các thuộc tính của bất động sản.</w:t>
      </w:r>
    </w:p>
    <w:p w:rsidR="00764EB5" w:rsidRDefault="00DF13CC" w:rsidP="006575F3">
      <w:pPr>
        <w:spacing w:line="353" w:lineRule="auto"/>
      </w:pPr>
      <w:r>
        <w:t>Kết quả Chương 4 cho thấy cả ba cấu phần cốt lõi của TPB đều có ý nghĩa, trong khi GTCN cũng có β = 0,303 và f² = 0,135. Điều này cho thấy hai hướng tiếp cận không loại trừ nhau.</w:t>
      </w:r>
    </w:p>
    <w:p w:rsidR="00764EB5" w:rsidRDefault="00DF13CC" w:rsidP="006575F3">
      <w:pPr>
        <w:spacing w:line="353" w:lineRule="auto"/>
      </w:pPr>
      <w:r>
        <w:t>Giá trị của mô hình luận án nằm ở việc kết hợp cơ chế đánh giá hành vi của con người với cơ chế đánh giá giá trị của sản phẩm, thay vì tăng số lượng các thuộc tính riêng lẻ trong mô hình.</w:t>
      </w:r>
    </w:p>
    <w:p w:rsidR="00764EB5" w:rsidRDefault="00DF13CC" w:rsidP="006575F3">
      <w:pPr>
        <w:spacing w:line="353" w:lineRule="auto"/>
      </w:pPr>
      <w:r>
        <w:t>Do đó, luận án không khẳng định xây dựng một lý thuyết mới, mà cung cấp bằng chứng thực nghiệm rằng TPB có thể được mở rộng bằng GTCN trong bối cảnh mua căn hộ tại Đông Nam Bộ.</w:t>
      </w:r>
    </w:p>
    <w:p w:rsidR="00764EB5" w:rsidRDefault="00DF13CC" w:rsidP="006575F3">
      <w:pPr>
        <w:pStyle w:val="Heading3"/>
        <w:spacing w:line="353" w:lineRule="auto"/>
      </w:pPr>
      <w:bookmarkStart w:id="624" w:name="_Toc238480663"/>
      <w:bookmarkStart w:id="625" w:name="_Toc241062495"/>
      <w:bookmarkStart w:id="626" w:name="_Toc241064434"/>
      <w:bookmarkStart w:id="627" w:name="_Toc241065367"/>
      <w:bookmarkStart w:id="628" w:name="_Toc241065585"/>
      <w:r>
        <w:t>(2) Đối chiếu với khoảng trống về thuộc tính bất động sản</w:t>
      </w:r>
      <w:bookmarkEnd w:id="624"/>
      <w:bookmarkEnd w:id="625"/>
      <w:bookmarkEnd w:id="626"/>
      <w:bookmarkEnd w:id="627"/>
      <w:bookmarkEnd w:id="628"/>
    </w:p>
    <w:p w:rsidR="00764EB5" w:rsidRDefault="00DF13CC" w:rsidP="006575F3">
      <w:pPr>
        <w:spacing w:line="353" w:lineRule="auto"/>
      </w:pPr>
      <w:r>
        <w:t>Tổng quan nghiên cứu cho thấy nhiều công trình xem giá, vị trí, tiện ích, chất lượng, pháp lý và uy tín chủ đầu tư như những biến độc lập riêng biệt.</w:t>
      </w:r>
    </w:p>
    <w:p w:rsidR="00764EB5" w:rsidRDefault="00DF13CC" w:rsidP="006575F3">
      <w:pPr>
        <w:spacing w:line="353" w:lineRule="auto"/>
      </w:pPr>
      <w:r>
        <w:t>Luận án lựa chọn cách tiếp cận tổng hợp hơn, trong đó các thuộc tính được sử dụng để hình thành nội hàm TD hoặc GTCN trong phạm vi thang đo.</w:t>
      </w:r>
    </w:p>
    <w:p w:rsidR="00764EB5" w:rsidRDefault="00DF13CC" w:rsidP="003D6B28">
      <w:r>
        <w:t>Kết quả GTCN → YDM có ý nghĩa hỗ trợ giá trị của cách tiếp cận này. Tuy nhiên, hệ quả là luận án không đủ căn cứ thống kê để nói vị trí có tác động lớn hơn pháp lý, hay uy tín chủ đầu tư quan trọng hơn phong thủy.</w:t>
      </w:r>
    </w:p>
    <w:p w:rsidR="00764EB5" w:rsidRDefault="00DF13CC" w:rsidP="006575F3">
      <w:pPr>
        <w:spacing w:line="353" w:lineRule="auto"/>
      </w:pPr>
      <w:r>
        <w:t>Do vậy, đóng góp của nghiên cứu không phải một bảng thứ hạng các thuộc tính, mà là bằng chứng rằng đánh giá tổng thể về mức độ đáng mua của căn hộ có ý nghĩa đối với Ý định mua.</w:t>
      </w:r>
    </w:p>
    <w:p w:rsidR="00764EB5" w:rsidRDefault="00DF13CC" w:rsidP="006575F3">
      <w:pPr>
        <w:spacing w:line="353" w:lineRule="auto"/>
      </w:pPr>
      <w:r>
        <w:t>Cách tiếp cận này phù hợp hơn với thực tế ra quyết định, khi khách hàng thường thực hiện nhiều sự đánh đổi giữa giá cả, vị trí, chất lượng và rủi ro thay vì xem xét từng thuộc tính hoàn toàn độc lập.</w:t>
      </w:r>
    </w:p>
    <w:p w:rsidR="00764EB5" w:rsidRDefault="00DF13CC" w:rsidP="006575F3">
      <w:pPr>
        <w:pStyle w:val="Heading3"/>
        <w:spacing w:line="353" w:lineRule="auto"/>
      </w:pPr>
      <w:bookmarkStart w:id="629" w:name="_Toc238480664"/>
      <w:bookmarkStart w:id="630" w:name="_Toc241062496"/>
      <w:bookmarkStart w:id="631" w:name="_Toc241064435"/>
      <w:bookmarkStart w:id="632" w:name="_Toc241065368"/>
      <w:bookmarkStart w:id="633" w:name="_Toc241065586"/>
      <w:r>
        <w:t>(3) Đối chiếu với khoảng trống về đo lường và cơ chế tác động</w:t>
      </w:r>
      <w:bookmarkEnd w:id="629"/>
      <w:bookmarkEnd w:id="630"/>
      <w:bookmarkEnd w:id="631"/>
      <w:bookmarkEnd w:id="632"/>
      <w:bookmarkEnd w:id="633"/>
    </w:p>
    <w:p w:rsidR="00764EB5" w:rsidRDefault="00DF13CC" w:rsidP="006575F3">
      <w:pPr>
        <w:spacing w:line="353" w:lineRule="auto"/>
      </w:pPr>
      <w:r>
        <w:t>Một trong những khoảng trống quan trọng ở Chương 1 là sự chưa rõ ràng giữa “Ý định mua”, “quyết định mua” và “hành vi mua”.</w:t>
      </w:r>
    </w:p>
    <w:p w:rsidR="00764EB5" w:rsidRDefault="00DF13CC" w:rsidP="006575F3">
      <w:pPr>
        <w:spacing w:line="353" w:lineRule="auto"/>
      </w:pPr>
      <w:r>
        <w:lastRenderedPageBreak/>
        <w:t>Kết quả Chương 4 cung cấp ba nhóm bằng chứng.</w:t>
      </w:r>
    </w:p>
    <w:p w:rsidR="00764EB5" w:rsidRPr="007B644D" w:rsidRDefault="00DF13CC" w:rsidP="006575F3">
      <w:pPr>
        <w:spacing w:line="353" w:lineRule="auto"/>
        <w:rPr>
          <w:spacing w:val="-4"/>
        </w:rPr>
      </w:pPr>
      <w:r w:rsidRPr="007B644D">
        <w:rPr>
          <w:i/>
          <w:iCs/>
          <w:spacing w:val="-4"/>
        </w:rPr>
        <w:t>Thứ nhất,</w:t>
      </w:r>
      <w:r w:rsidRPr="007B644D">
        <w:rPr>
          <w:spacing w:val="-4"/>
        </w:rPr>
        <w:t xml:space="preserve"> HTMT và Fornell–Larcker hỗ trợ giá trị phân biệt giữa YDM và QDM.</w:t>
      </w:r>
    </w:p>
    <w:p w:rsidR="00764EB5" w:rsidRDefault="00DF13CC" w:rsidP="006575F3">
      <w:pPr>
        <w:spacing w:line="353" w:lineRule="auto"/>
      </w:pPr>
      <w:r>
        <w:rPr>
          <w:i/>
          <w:iCs/>
        </w:rPr>
        <w:t>Thứ hai,</w:t>
      </w:r>
      <w:r>
        <w:t xml:space="preserve"> YDM → QDM có β = 0,586 và f² = 0,523, xác nhận hai cấu trúc có mối liên hệ mạnh theo đúng logic tiến trình.</w:t>
      </w:r>
    </w:p>
    <w:p w:rsidR="00764EB5" w:rsidRDefault="00DF13CC" w:rsidP="006575F3">
      <w:pPr>
        <w:spacing w:line="353" w:lineRule="auto"/>
      </w:pPr>
      <w:r>
        <w:rPr>
          <w:i/>
          <w:iCs/>
        </w:rPr>
        <w:t>Thứ ba,</w:t>
      </w:r>
      <w:r>
        <w:t xml:space="preserve"> R² của QDM chỉ đạt 0,344, cho thấy YDM chưa giải thích toàn bộ mức độ sẵn sàng ra quyết định.</w:t>
      </w:r>
    </w:p>
    <w:p w:rsidR="00764EB5" w:rsidRDefault="00DF13CC" w:rsidP="006575F3">
      <w:pPr>
        <w:spacing w:line="353" w:lineRule="auto"/>
      </w:pPr>
      <w:r>
        <w:t>Ba kết quả này kết hợp lại cho thấy YDM và QDM không phải cùng một khái niệm nhưng có quan hệ chặt chẽ. Đây là một trong những kết quả có giá trị đáng kể của luận án.</w:t>
      </w:r>
    </w:p>
    <w:p w:rsidR="00764EB5" w:rsidRDefault="00DF13CC" w:rsidP="006575F3">
      <w:pPr>
        <w:spacing w:line="353" w:lineRule="auto"/>
      </w:pPr>
      <w:r>
        <w:t>Các tác động gián tiếp tiếp tục cho thấy TD, CCQ, NTHV và GTCN có liên hệ với QDM thông qua YDM. Tuy nhiên, do thiếu các đường trực tiếp tương ứng, luận án không chuyển kết quả này thành tuyên bố trung gian toàn phần hoặc một phần.</w:t>
      </w:r>
    </w:p>
    <w:p w:rsidR="00764EB5" w:rsidRDefault="00DF13CC" w:rsidP="006575F3">
      <w:pPr>
        <w:pStyle w:val="Heading3"/>
        <w:spacing w:line="353" w:lineRule="auto"/>
      </w:pPr>
      <w:bookmarkStart w:id="634" w:name="_Toc238480665"/>
      <w:bookmarkStart w:id="635" w:name="_Toc241062497"/>
      <w:bookmarkStart w:id="636" w:name="_Toc241064436"/>
      <w:bookmarkStart w:id="637" w:name="_Toc241065369"/>
      <w:bookmarkStart w:id="638" w:name="_Toc241065587"/>
      <w:r>
        <w:t>(4) Đối chiếu với khoảng trống về bối cảnh</w:t>
      </w:r>
      <w:bookmarkEnd w:id="634"/>
      <w:bookmarkEnd w:id="635"/>
      <w:bookmarkEnd w:id="636"/>
      <w:bookmarkEnd w:id="637"/>
      <w:bookmarkEnd w:id="638"/>
    </w:p>
    <w:p w:rsidR="00764EB5" w:rsidRDefault="00DF13CC" w:rsidP="006575F3">
      <w:pPr>
        <w:spacing w:line="353" w:lineRule="auto"/>
      </w:pPr>
      <w:r>
        <w:t>Vùng Đông Nam Bộ có mức độ phát triển thị trường không đồng nhất. TP. Hồ Chí Minh có thị trường căn hộ tương đối trưởng thành; Đồng Nai gắn mạnh với mở rộng đô thị, công nghiệp và hạ tầng; Tây Ninh có thị trường căn hộ ở mức phát triển mới hơn.</w:t>
      </w:r>
    </w:p>
    <w:p w:rsidR="00764EB5" w:rsidRDefault="00DF13CC" w:rsidP="006575F3">
      <w:pPr>
        <w:spacing w:line="353" w:lineRule="auto"/>
      </w:pPr>
      <w:r>
        <w:t>Việc thu thập dữ liệu tại ba địa bàn tạo ra bằng chứng theo bối cảnh rộng hơn so với việc chỉ khảo sát tại một thành phố. Đồng thời, dữ liệu thứ cấp cho thấy Đông Nam Bộ có tốc độ tăng dân số cao, mật độ dân cư lớn và áp lực nhà ở đáng kể [24].</w:t>
      </w:r>
    </w:p>
    <w:p w:rsidR="00764EB5" w:rsidRDefault="00DF13CC" w:rsidP="003D6B28">
      <w:r>
        <w:t>Tuy nhiên, do mẫu không được thiết kế như một mẫu đại diện xác suất cho từng địa phương và nghiên cứu không thực hiện MGA, kết quả không cho phép khẳng định GTCN có tác động mạnh hơn tại TP. Hồ Chí Minh hay NTHV quan trọng hơn tại Đồng Nai hoặc Tây Ninh.</w:t>
      </w:r>
    </w:p>
    <w:p w:rsidR="00764EB5" w:rsidRDefault="00DF13CC" w:rsidP="003D6B28">
      <w:r>
        <w:t>Giá trị về bối cảnh của nghiên cứu vì vậy nằm ở việc kiểm định mô hình trên dữ liệu được thu thập từ một vùng có sự phân hóa thị trường, không phải ở việc chứng minh sự khác nhau giữa các địa phương.</w:t>
      </w:r>
    </w:p>
    <w:p w:rsidR="00764EB5" w:rsidRDefault="00DF13CC" w:rsidP="00021C6B">
      <w:pPr>
        <w:pStyle w:val="Heading3"/>
      </w:pPr>
      <w:bookmarkStart w:id="639" w:name="_Toc238480666"/>
      <w:bookmarkStart w:id="640" w:name="_Toc241062498"/>
      <w:bookmarkStart w:id="641" w:name="_Toc241064437"/>
      <w:bookmarkStart w:id="642" w:name="_Toc241065370"/>
      <w:bookmarkStart w:id="643" w:name="_Toc241065588"/>
      <w:r>
        <w:lastRenderedPageBreak/>
        <w:t>(5) Đối chiếu với khoảng trống về phương pháp</w:t>
      </w:r>
      <w:bookmarkEnd w:id="639"/>
      <w:bookmarkEnd w:id="640"/>
      <w:bookmarkEnd w:id="641"/>
      <w:bookmarkEnd w:id="642"/>
      <w:bookmarkEnd w:id="643"/>
    </w:p>
    <w:p w:rsidR="00764EB5" w:rsidRDefault="00DF13CC" w:rsidP="003D6B28">
      <w:r>
        <w:t>Phần lớn nghiên cứu hành vi mua nhà sử dụng dữ liệu cắt ngang và các kỹ thuật phân tích định lượng khác nhau. Luận án sử dụng PLS-SEM nhằm đánh giá đồng thời mô hình đo lường và mô hình cấu trúc.</w:t>
      </w:r>
    </w:p>
    <w:p w:rsidR="00764EB5" w:rsidRDefault="00DF13CC" w:rsidP="003D6B28">
      <w:r>
        <w:t>Kết quả cho phép không chỉ xác định hướng và ý nghĩa thống kê của các quan hệ mà còn phân tích mức độ giải thích thông qua R², mức đóng góp riêng thông qua f², mức liên quan dự báo thông qua Q² và các tác động gián tiếp.</w:t>
      </w:r>
    </w:p>
    <w:p w:rsidR="00764EB5" w:rsidRDefault="00DF13CC" w:rsidP="003D6B28">
      <w:r>
        <w:t>Điểm có ý nghĩa phương pháp không nằm ở việc sử dụng SmartPLS như một phần mềm mới, mà ở việc phân biệt đúng chức năng của từng chỉ số.</w:t>
      </w:r>
    </w:p>
    <w:p w:rsidR="00764EB5" w:rsidRDefault="00DF13CC" w:rsidP="007B644D">
      <w:pPr>
        <w:spacing w:line="348" w:lineRule="auto"/>
      </w:pPr>
      <w:r>
        <w:t>β phản ánh độ lớn quan hệ chuẩn hóa; f² phản ánh phần đóng góp riêng; R² phản ánh phương sai được giải thích; Q² blindfolding phản ánh predictive relevance chứ không phải hiệu năng dự báo ngoài mẫu; model fit cần được xem xét qua nhiều chỉ tiêu; specific indirect effect có ý nghĩa chưa đồng nghĩa với việc đã chứng minh dạng trung gian.</w:t>
      </w:r>
    </w:p>
    <w:p w:rsidR="00764EB5" w:rsidRDefault="00DF13CC" w:rsidP="007B644D">
      <w:pPr>
        <w:pStyle w:val="Heading2"/>
        <w:spacing w:line="348" w:lineRule="auto"/>
      </w:pPr>
      <w:bookmarkStart w:id="644" w:name="_Toc238480657"/>
      <w:bookmarkStart w:id="645" w:name="_Toc234224148"/>
      <w:bookmarkStart w:id="646" w:name="_Toc205701308"/>
      <w:bookmarkStart w:id="647" w:name="_Toc241062499"/>
      <w:bookmarkStart w:id="648" w:name="_Toc241064438"/>
      <w:bookmarkStart w:id="649" w:name="_Toc241065371"/>
      <w:bookmarkStart w:id="650" w:name="_Toc241065589"/>
      <w:r>
        <w:t>4.3.5. Phân tích ý nghĩa của kết quả nghiên cứu</w:t>
      </w:r>
      <w:bookmarkEnd w:id="644"/>
      <w:bookmarkEnd w:id="645"/>
      <w:bookmarkEnd w:id="646"/>
      <w:bookmarkEnd w:id="647"/>
      <w:bookmarkEnd w:id="648"/>
      <w:bookmarkEnd w:id="649"/>
      <w:bookmarkEnd w:id="650"/>
    </w:p>
    <w:p w:rsidR="00764EB5" w:rsidRPr="006575F3" w:rsidRDefault="00DF13CC" w:rsidP="00021C6B">
      <w:pPr>
        <w:pStyle w:val="Heading3"/>
        <w:rPr>
          <w:b w:val="0"/>
        </w:rPr>
      </w:pPr>
      <w:bookmarkStart w:id="651" w:name="_Toc238480658"/>
      <w:bookmarkStart w:id="652" w:name="_Toc241062500"/>
      <w:bookmarkStart w:id="653" w:name="_Toc241064439"/>
      <w:bookmarkStart w:id="654" w:name="_Toc241065372"/>
      <w:bookmarkStart w:id="655" w:name="_Toc241065590"/>
      <w:r w:rsidRPr="006575F3">
        <w:rPr>
          <w:b w:val="0"/>
        </w:rPr>
        <w:t>4.3.5.1. Ý nghĩa về mặt lý thuyết</w:t>
      </w:r>
      <w:bookmarkEnd w:id="651"/>
      <w:bookmarkEnd w:id="652"/>
      <w:bookmarkEnd w:id="653"/>
      <w:bookmarkEnd w:id="654"/>
      <w:bookmarkEnd w:id="655"/>
    </w:p>
    <w:p w:rsidR="00764EB5" w:rsidRDefault="00DF13CC" w:rsidP="007B644D">
      <w:pPr>
        <w:spacing w:line="348" w:lineRule="auto"/>
        <w:rPr>
          <w:color w:val="auto"/>
        </w:rPr>
      </w:pPr>
      <w:r>
        <w:rPr>
          <w:i/>
          <w:iCs/>
          <w:color w:val="auto"/>
        </w:rPr>
        <w:t xml:space="preserve">Trước hết, </w:t>
      </w:r>
      <w:r>
        <w:rPr>
          <w:color w:val="auto"/>
        </w:rPr>
        <w:t>kết quả cung cấp thêm bằng chứng về khả năng vận dụng TPB trong bối cảnh mua căn hộ chung cư tại Việt Nam. Cả TD, CCQ và NTHV đều có quan hệ dương, có ý nghĩa thống kê với YDM. Điều này cho thấy ba cấu phần cốt lõi của TPB tiếp tục có ý nghĩa khi nghiên cứu một sản phẩm có giá trị lớn và quá trình quyết định kéo dài.</w:t>
      </w:r>
    </w:p>
    <w:p w:rsidR="00764EB5" w:rsidRPr="007B644D" w:rsidRDefault="00DF13CC" w:rsidP="007B644D">
      <w:pPr>
        <w:spacing w:line="348" w:lineRule="auto"/>
        <w:rPr>
          <w:color w:val="auto"/>
          <w:spacing w:val="-2"/>
        </w:rPr>
      </w:pPr>
      <w:r w:rsidRPr="007B644D">
        <w:rPr>
          <w:color w:val="auto"/>
          <w:spacing w:val="-2"/>
        </w:rPr>
        <w:t>Tuy nhiên, các cấu phần không có mức đóng góp giống nhau. CCQ có f² cao hơn TD và NTHV, cho thấy ảnh hưởng xã hội có vai trò đáng chú ý trong bối cảnh này. Kết quả bổ sung bằng chứng cho lập luận rằng hành vi mua bất động sản tại Việt Nam cần được xem xét trong cấu trúc gia đình và xã hội, không chỉ dưới góc độ cá nhân.</w:t>
      </w:r>
    </w:p>
    <w:p w:rsidR="00764EB5" w:rsidRDefault="00DF13CC" w:rsidP="007B644D">
      <w:pPr>
        <w:spacing w:line="348" w:lineRule="auto"/>
        <w:rPr>
          <w:color w:val="auto"/>
        </w:rPr>
      </w:pPr>
      <w:r>
        <w:rPr>
          <w:i/>
          <w:iCs/>
          <w:color w:val="auto"/>
        </w:rPr>
        <w:t>Thứ hai,</w:t>
      </w:r>
      <w:r>
        <w:rPr>
          <w:color w:val="auto"/>
        </w:rPr>
        <w:t xml:space="preserve"> việc bổ sung GTCN vào TPB có giá trị ở mức mở rộng ứng dụng. GTCN có β = 0,303 và f² = 0,135, chứng minh rằng đánh giá đối với giá trị của sản phẩm cung cấp thông tin giải thích bổ sung cho các cấu phần TPB.</w:t>
      </w:r>
    </w:p>
    <w:p w:rsidR="00764EB5" w:rsidRDefault="00DF13CC" w:rsidP="007B644D">
      <w:pPr>
        <w:spacing w:line="348" w:lineRule="auto"/>
        <w:rPr>
          <w:color w:val="auto"/>
        </w:rPr>
      </w:pPr>
      <w:r>
        <w:rPr>
          <w:color w:val="auto"/>
        </w:rPr>
        <w:lastRenderedPageBreak/>
        <w:t>Điều này giúp kết nối hai hướng nghiên cứu đã được nhận diện tại Chương 1: hướng tập trung vào các thuộc tính bất động sản và hướng tập trung vào tâm lý – hành vi người tiêu dùng.</w:t>
      </w:r>
    </w:p>
    <w:p w:rsidR="00764EB5" w:rsidRDefault="00DF13CC" w:rsidP="007B644D">
      <w:pPr>
        <w:spacing w:line="348" w:lineRule="auto"/>
        <w:rPr>
          <w:color w:val="auto"/>
        </w:rPr>
      </w:pPr>
      <w:r>
        <w:rPr>
          <w:i/>
          <w:iCs/>
          <w:color w:val="auto"/>
        </w:rPr>
        <w:t>Thứ ba</w:t>
      </w:r>
      <w:r>
        <w:rPr>
          <w:color w:val="auto"/>
        </w:rPr>
        <w:t>, kết quả cung cấp bằng chứng cho sự cần thiết phải phân biệt YDM và QDM. Hai cấu trúc đạt giá trị phân biệt nhưng có quan hệ mạnh, đúng với logic một tiến trình hành vi.</w:t>
      </w:r>
    </w:p>
    <w:p w:rsidR="00764EB5" w:rsidRDefault="00DF13CC" w:rsidP="007B644D">
      <w:pPr>
        <w:spacing w:line="348" w:lineRule="auto"/>
        <w:rPr>
          <w:color w:val="auto"/>
        </w:rPr>
      </w:pPr>
      <w:r>
        <w:rPr>
          <w:i/>
          <w:iCs/>
          <w:color w:val="auto"/>
        </w:rPr>
        <w:t>Thứ tư</w:t>
      </w:r>
      <w:r>
        <w:rPr>
          <w:color w:val="auto"/>
        </w:rPr>
        <w:t>, R² QDM = 0,344 trong khi f² của YDM → QDM = 0,523 cho thấy một vấn đề có ý nghĩa về lý thuyết: ý định có ảnh hưởng mạnh, nhưng quá trình tiến tới quyết định vẫn bị chi phối bởi những điều kiện khác. Đây chính là khoảng cách ý định – hành động thường xuất hiện trong các hành vi có mức ràng buộc cao.</w:t>
      </w:r>
    </w:p>
    <w:p w:rsidR="00764EB5" w:rsidRDefault="00DF13CC" w:rsidP="007B644D">
      <w:pPr>
        <w:spacing w:line="348" w:lineRule="auto"/>
        <w:rPr>
          <w:color w:val="auto"/>
        </w:rPr>
      </w:pPr>
      <w:r>
        <w:rPr>
          <w:i/>
          <w:iCs/>
          <w:color w:val="auto"/>
        </w:rPr>
        <w:t xml:space="preserve">Thứ năm, </w:t>
      </w:r>
      <w:r>
        <w:rPr>
          <w:color w:val="auto"/>
        </w:rPr>
        <w:t>các tác động gián tiếp đều có ý nghĩa, cho thấy YDM đóng vai trò truyền dẫn trong các quan hệ từ biến tiền đề đến QDM. Tuy nhiên, vì chưa kiểm định đường trực tiếp, kết quả chỉ hỗ trợ tác động gián tiếp chứ không phân loại cơ chế trung gian.</w:t>
      </w:r>
    </w:p>
    <w:p w:rsidR="00764EB5" w:rsidRPr="006575F3" w:rsidRDefault="00DF13CC" w:rsidP="00021C6B">
      <w:pPr>
        <w:pStyle w:val="Heading3"/>
        <w:rPr>
          <w:b w:val="0"/>
        </w:rPr>
      </w:pPr>
      <w:bookmarkStart w:id="656" w:name="_Toc238480659"/>
      <w:bookmarkStart w:id="657" w:name="_Toc241062501"/>
      <w:bookmarkStart w:id="658" w:name="_Toc241064440"/>
      <w:bookmarkStart w:id="659" w:name="_Toc241065373"/>
      <w:bookmarkStart w:id="660" w:name="_Toc241065591"/>
      <w:r w:rsidRPr="006575F3">
        <w:rPr>
          <w:b w:val="0"/>
        </w:rPr>
        <w:t>4.3.5.2. Ý nghĩa về mặt thực tiễn</w:t>
      </w:r>
      <w:bookmarkEnd w:id="656"/>
      <w:bookmarkEnd w:id="657"/>
      <w:bookmarkEnd w:id="658"/>
      <w:bookmarkEnd w:id="659"/>
      <w:bookmarkEnd w:id="660"/>
    </w:p>
    <w:p w:rsidR="00764EB5" w:rsidRDefault="00DF13CC" w:rsidP="007B644D">
      <w:pPr>
        <w:spacing w:line="348" w:lineRule="auto"/>
        <w:rPr>
          <w:color w:val="auto"/>
        </w:rPr>
      </w:pPr>
      <w:r>
        <w:rPr>
          <w:color w:val="auto"/>
        </w:rPr>
        <w:t>Kết quả cho thấy doanh nghiệp không nên tìm kiếm một “yếu tố quan trọng nhất” rồi tập trung toàn bộ nguồn lực vào yếu tố đó.</w:t>
      </w:r>
    </w:p>
    <w:p w:rsidR="00764EB5" w:rsidRDefault="00DF13CC" w:rsidP="007B644D">
      <w:pPr>
        <w:spacing w:line="348" w:lineRule="auto"/>
        <w:rPr>
          <w:color w:val="auto"/>
        </w:rPr>
      </w:pPr>
      <w:r>
        <w:rPr>
          <w:color w:val="auto"/>
        </w:rPr>
        <w:t>GTCN và CCQ gần tương đương về β và có thứ tự khác nhau khi xét f². Điều này có nghĩa một chiến lược chỉ tập trung nâng thuộc tính sản phẩm nhưng bỏ qua môi trường xã hội của quyết định có thể chưa đầy đủ; ngược lại, truyền thông mạnh nhưng sản phẩm không tạo ra giá trị tương xứng cũng khó tạo YDM bền vững.</w:t>
      </w:r>
    </w:p>
    <w:p w:rsidR="00764EB5" w:rsidRDefault="00DF13CC" w:rsidP="007B644D">
      <w:pPr>
        <w:spacing w:line="348" w:lineRule="auto"/>
        <w:rPr>
          <w:color w:val="auto"/>
        </w:rPr>
      </w:pPr>
      <w:r>
        <w:rPr>
          <w:color w:val="auto"/>
        </w:rPr>
        <w:t>TD cho thấy doanh nghiệp phải hình thành đánh giá tích cực về hành vi mua bằng thông tin, trải nghiệm và sự nhất quán giữa kỳ vọng với thực tế.</w:t>
      </w:r>
    </w:p>
    <w:p w:rsidR="00764EB5" w:rsidRPr="007B644D" w:rsidRDefault="00DF13CC" w:rsidP="007B644D">
      <w:pPr>
        <w:spacing w:line="348" w:lineRule="auto"/>
        <w:rPr>
          <w:color w:val="auto"/>
          <w:spacing w:val="-4"/>
        </w:rPr>
      </w:pPr>
      <w:r w:rsidRPr="007B644D">
        <w:rPr>
          <w:color w:val="auto"/>
          <w:spacing w:val="-4"/>
        </w:rPr>
        <w:t>NTHV nhấn mạnh yêu cầu giảm rào cản tài chính, thông tin và thủ tục. Mặc dù f² thấp, đây vẫn là quan hệ có ý nghĩa và có thể đóng vai trò như một điều kiện thực hiện.</w:t>
      </w:r>
    </w:p>
    <w:p w:rsidR="00764EB5" w:rsidRDefault="00DF13CC" w:rsidP="007B644D">
      <w:pPr>
        <w:spacing w:line="348" w:lineRule="auto"/>
        <w:rPr>
          <w:color w:val="auto"/>
        </w:rPr>
      </w:pPr>
      <w:r>
        <w:rPr>
          <w:color w:val="auto"/>
        </w:rPr>
        <w:t>Quan trọng nhất, YDM → QDM cho thấy hoạt động quản trị không nên dừng ở việc tạo sự quan tâm hay “lead”. Doanh nghiệp cần quản trị quá trình từ ý định đến mức độ sẵn sàng giao dịch thông qua hỗ trợ lựa chọn sản phẩm, phương án tài chính, hồ sơ và thông tin pháp lý.</w:t>
      </w:r>
    </w:p>
    <w:p w:rsidR="00764EB5" w:rsidRDefault="00DF13CC" w:rsidP="007B644D">
      <w:pPr>
        <w:spacing w:line="348" w:lineRule="auto"/>
        <w:rPr>
          <w:color w:val="auto"/>
        </w:rPr>
      </w:pPr>
      <w:r>
        <w:rPr>
          <w:color w:val="auto"/>
        </w:rPr>
        <w:t xml:space="preserve">Như vậy, kết quả Chương 4 hình thành một chuỗi hàm ý quản trị: nâng cao giá trị sản phẩm → tạo thái độ tích cực và sự đồng thuận xã hội → giảm rào cản kiểm </w:t>
      </w:r>
      <w:r>
        <w:rPr>
          <w:color w:val="auto"/>
        </w:rPr>
        <w:lastRenderedPageBreak/>
        <w:t>soát → củng cố Ý định mua → hỗ trợ chuyển Ý định mua thành mức độ sẵn sàng ra quyết định.</w:t>
      </w:r>
    </w:p>
    <w:p w:rsidR="00764EB5" w:rsidRDefault="00DF13CC" w:rsidP="007B644D">
      <w:pPr>
        <w:spacing w:line="348" w:lineRule="auto"/>
        <w:rPr>
          <w:color w:val="auto"/>
        </w:rPr>
      </w:pPr>
      <w:r>
        <w:rPr>
          <w:color w:val="auto"/>
        </w:rPr>
        <w:t>Chuỗi logic này là cơ sở trực tiếp để phát triển các hàm ý ở Chương 5.</w:t>
      </w:r>
    </w:p>
    <w:p w:rsidR="00764EB5" w:rsidRPr="006575F3" w:rsidRDefault="00DF13CC" w:rsidP="00021C6B">
      <w:pPr>
        <w:pStyle w:val="Heading3"/>
        <w:rPr>
          <w:b w:val="0"/>
        </w:rPr>
      </w:pPr>
      <w:bookmarkStart w:id="661" w:name="_Toc238480660"/>
      <w:bookmarkStart w:id="662" w:name="_Toc241062502"/>
      <w:bookmarkStart w:id="663" w:name="_Toc241064441"/>
      <w:bookmarkStart w:id="664" w:name="_Toc241065374"/>
      <w:bookmarkStart w:id="665" w:name="_Toc241065592"/>
      <w:r w:rsidRPr="006575F3">
        <w:rPr>
          <w:b w:val="0"/>
        </w:rPr>
        <w:t>4.3.5.3. Ý nghĩa về mặt phương pháp luận</w:t>
      </w:r>
      <w:bookmarkEnd w:id="661"/>
      <w:bookmarkEnd w:id="662"/>
      <w:bookmarkEnd w:id="663"/>
      <w:bookmarkEnd w:id="664"/>
      <w:bookmarkEnd w:id="665"/>
    </w:p>
    <w:p w:rsidR="00764EB5" w:rsidRDefault="00DF13CC" w:rsidP="007B644D">
      <w:pPr>
        <w:spacing w:line="348" w:lineRule="auto"/>
        <w:rPr>
          <w:color w:val="auto"/>
        </w:rPr>
      </w:pPr>
      <w:r>
        <w:rPr>
          <w:color w:val="auto"/>
        </w:rPr>
        <w:t>Kết quả cho thấy đánh giá mô hình PLS-SEM cần dựa trên một hệ thống chỉ số thay vì một tiêu chí duy nhất.</w:t>
      </w:r>
    </w:p>
    <w:p w:rsidR="00764EB5" w:rsidRDefault="00DF13CC" w:rsidP="007B644D">
      <w:pPr>
        <w:spacing w:line="348" w:lineRule="auto"/>
        <w:rPr>
          <w:color w:val="auto"/>
        </w:rPr>
      </w:pPr>
      <w:r>
        <w:rPr>
          <w:color w:val="auto"/>
        </w:rPr>
        <w:t>Việc chỉ xem p-value có thể dẫn đến kết luận rằng tất cả biến đều quan trọng tương đương vì tất cả giả thuyết đều được chấp nhận. Việc chỉ xem β lại có thể dẫn đến kết luận GTCN là yếu tố mạnh nhất. Khi bổ sung f², CCQ lại có phần đóng góp riêng cao hơn GTCN.</w:t>
      </w:r>
    </w:p>
    <w:p w:rsidR="00764EB5" w:rsidRDefault="00DF13CC" w:rsidP="003D6B28">
      <w:pPr>
        <w:rPr>
          <w:color w:val="auto"/>
        </w:rPr>
      </w:pPr>
      <w:r>
        <w:rPr>
          <w:color w:val="auto"/>
        </w:rPr>
        <w:t>Tương tự, R² phản ánh khả năng giải thích nhưng không phản ánh quan hệ nhân quả. Q² &gt; 0 cho thấy predictive relevance trong blindfolding nhưng không chứng minh hiệu quả dự báo ngoài mẫu. SRMR đạt mức chấp nhận nhưng NFI chưa đạt 0,90, vì vậy cũng không nên mô tả model fit bằng một kết luận tuyệt đối.</w:t>
      </w:r>
    </w:p>
    <w:p w:rsidR="00764EB5" w:rsidRDefault="00DF13CC" w:rsidP="003D6B28">
      <w:pPr>
        <w:rPr>
          <w:color w:val="auto"/>
        </w:rPr>
      </w:pPr>
      <w:r>
        <w:rPr>
          <w:color w:val="auto"/>
        </w:rPr>
        <w:t>Việc đọc đồng thời reliability, validity, VIF, β, R², f², Q² và model fit làm cho kết quả có tính toàn diện và thận trọng hơn.</w:t>
      </w:r>
    </w:p>
    <w:p w:rsidR="00764EB5" w:rsidRDefault="00DF13CC" w:rsidP="003D6B28">
      <w:pPr>
        <w:rPr>
          <w:color w:val="auto"/>
        </w:rPr>
      </w:pPr>
      <w:r>
        <w:rPr>
          <w:color w:val="auto"/>
        </w:rPr>
        <w:t>Đồng thời, việc không gọi các tác động gián tiếp là “trung gian toàn phần” hoặc “trung gian một phần” khi chưa kiểm định các đường trực tiếp giúp bảo đảm tính nhất quán giữa cấu trúc mô hình và kết luận.</w:t>
      </w:r>
    </w:p>
    <w:p w:rsidR="00764EB5" w:rsidRDefault="00DF13CC" w:rsidP="003D6B28">
      <w:pPr>
        <w:rPr>
          <w:color w:val="auto"/>
        </w:rPr>
      </w:pPr>
      <w:r>
        <w:rPr>
          <w:color w:val="auto"/>
        </w:rPr>
        <w:t>Kết quả nghiên cứu thu được từ mô hình PLS-SEM trên phần mềm SmartPLS không chỉ xác nhận các giả thuyết đề xuất mà còn mang lại nhiều ý nghĩa quan trọng về mặt lý thuyết, thực tiễn và phương pháp luận trong nghiên cứu hành vi khách hàng mua căn hộ chung cư tại khu vực Đông Nam Bộ.</w:t>
      </w:r>
    </w:p>
    <w:p w:rsidR="00764EB5" w:rsidRDefault="00764EB5" w:rsidP="003D6B28"/>
    <w:p w:rsidR="00764EB5" w:rsidRDefault="00764EB5" w:rsidP="003D6B28">
      <w:pPr>
        <w:rPr>
          <w:b/>
          <w:bCs/>
        </w:rPr>
      </w:pPr>
    </w:p>
    <w:p w:rsidR="007B644D" w:rsidRDefault="007B644D">
      <w:pPr>
        <w:suppressAutoHyphens w:val="0"/>
        <w:spacing w:line="240" w:lineRule="auto"/>
        <w:ind w:firstLine="0"/>
        <w:jc w:val="left"/>
        <w:rPr>
          <w:b/>
          <w:bCs/>
        </w:rPr>
      </w:pPr>
      <w:r>
        <w:rPr>
          <w:b/>
          <w:bCs/>
        </w:rPr>
        <w:br w:type="page"/>
      </w:r>
    </w:p>
    <w:p w:rsidR="00764EB5" w:rsidRDefault="00DF13CC" w:rsidP="006575F3">
      <w:pPr>
        <w:jc w:val="center"/>
        <w:outlineLvl w:val="0"/>
        <w:rPr>
          <w:b/>
          <w:bCs/>
        </w:rPr>
      </w:pPr>
      <w:bookmarkStart w:id="666" w:name="_Toc241064442"/>
      <w:bookmarkStart w:id="667" w:name="_Toc241065375"/>
      <w:bookmarkStart w:id="668" w:name="_Toc241065593"/>
      <w:r>
        <w:rPr>
          <w:b/>
          <w:bCs/>
        </w:rPr>
        <w:lastRenderedPageBreak/>
        <w:t>KẾT LUẬN CHƯƠNG 4</w:t>
      </w:r>
      <w:bookmarkEnd w:id="666"/>
      <w:bookmarkEnd w:id="667"/>
      <w:bookmarkEnd w:id="668"/>
    </w:p>
    <w:p w:rsidR="007B644D" w:rsidRPr="007B644D" w:rsidRDefault="007B644D" w:rsidP="003D6B28">
      <w:pPr>
        <w:jc w:val="center"/>
        <w:rPr>
          <w:b/>
          <w:bCs/>
          <w:sz w:val="12"/>
        </w:rPr>
      </w:pPr>
    </w:p>
    <w:p w:rsidR="00764EB5" w:rsidRPr="007B644D" w:rsidRDefault="00DF13CC" w:rsidP="007B644D">
      <w:pPr>
        <w:spacing w:line="343" w:lineRule="auto"/>
        <w:rPr>
          <w:spacing w:val="-2"/>
        </w:rPr>
      </w:pPr>
      <w:r w:rsidRPr="007B644D">
        <w:rPr>
          <w:spacing w:val="-2"/>
        </w:rPr>
        <w:t>Chương 4 đã đánh giá mô hình đo lường và mô hình cấu trúc trên cơ sở 361 quan sát hợp lệ. Kết quả cho thấy các thang đo đáp ứng các tiêu chí về độ tin cậy, giá trị hội tụ và giá trị phân biệt; các giá trị VIF không cho thấy vấn đề đa cộng tuyến đáng kể.</w:t>
      </w:r>
    </w:p>
    <w:p w:rsidR="00764EB5" w:rsidRDefault="00DF13CC" w:rsidP="007B644D">
      <w:pPr>
        <w:spacing w:line="343" w:lineRule="auto"/>
      </w:pPr>
      <w:r>
        <w:t>Kết quả mô hình cấu trúc cho thấy TD, CCQ, NTHV và GTCN đều có quan hệ dương và có ý nghĩa thống kê với YDM. GTCN có β = 0,303 và CCQ = 0,300, gần như tương đương về hệ số đường dẫn; khi xét f², CCQ = 0,154 cao hơn GTCN = 0,135. Vì vậy, không có căn cứ để khẳng định GTCN là yếu tố mạnh nhất theo mọi tiêu chí. TD có β = 0,271 và NTHV = 0,150, trong đó NTHV có mức đóng góp riêng nhỏ hơn nhưng vẫn có ý nghĩa thống kê.</w:t>
      </w:r>
    </w:p>
    <w:p w:rsidR="00764EB5" w:rsidRDefault="00DF13CC" w:rsidP="007B644D">
      <w:pPr>
        <w:spacing w:line="343" w:lineRule="auto"/>
      </w:pPr>
      <w:r>
        <w:t>Bốn biến tiền đề giải thích 45,7% sự biến thiên của YDM. Kết quả này cho thấy mô hình có năng lực giải thích đáng kể đối với Ý định mua, đồng thời cho thấy YDM vẫn chịu ảnh hưởng bởi các nhân tố khác chưa được đưa vào cấu trúc nghiên cứu.</w:t>
      </w:r>
    </w:p>
    <w:p w:rsidR="00764EB5" w:rsidRDefault="00DF13CC" w:rsidP="007B644D">
      <w:pPr>
        <w:spacing w:line="343" w:lineRule="auto"/>
      </w:pPr>
      <w:r>
        <w:t>YDM có tác động mạnh đến QDM với β = 0,586 và f² = 0,523, nhưng chỉ giải thích 34,4% sự biến thiên của QDM. Kết quả này cho thấy khoảng cách giữa Ý định mua và mức độ sẵn sàng ra quyết định vẫn tồn tại và có thể chịu ảnh hưởng của nhiều điều kiện thực tế ngoài mô hình.</w:t>
      </w:r>
    </w:p>
    <w:p w:rsidR="00764EB5" w:rsidRDefault="00DF13CC" w:rsidP="007B644D">
      <w:pPr>
        <w:spacing w:line="343" w:lineRule="auto"/>
      </w:pPr>
      <w:r>
        <w:t>Các tác động gián tiếp từ TD, CCQ, NTHV và GTCN đến QDM thông qua YDM đều có ý nghĩa thống kê, qua đó xác nhận YDM là một cơ chế truyền dẫn quan trọng trong cấu trúc đã kiểm định. Tuy nhiên, do mô hình chưa ước lượng đầy đủ các đường trực tiếp đến QDM, luận án không phân loại YDM thành trung gian toàn phần hoặc trung gian một phần.</w:t>
      </w:r>
    </w:p>
    <w:p w:rsidR="00764EB5" w:rsidRDefault="00DF13CC" w:rsidP="007B644D">
      <w:pPr>
        <w:spacing w:line="343" w:lineRule="auto"/>
      </w:pPr>
      <w:r>
        <w:t>Tổng hợp các kết quả cho thấy hành vi mua căn hộ trong mẫu nghiên cứu không thể được giải thích bằng duy nhất thuộc tính sản phẩm, điều kiện tài chính hoặc yếu tố tâm lý. Ý định được hình thành từ sự tương tác giữa đánh giá đối với hành vi, ảnh hưởng xã hội, cảm nhận khả năng thực hiện và giá trị tổng thể của căn hộ; sau đó Ý định mua trở thành tiền đề gần quan trọng của mức độ sẵn sàng ra quyết định.</w:t>
      </w:r>
    </w:p>
    <w:p w:rsidR="00764EB5" w:rsidRDefault="00DF13CC" w:rsidP="007B644D">
      <w:pPr>
        <w:spacing w:line="343" w:lineRule="auto"/>
        <w:rPr>
          <w:color w:val="auto"/>
        </w:rPr>
      </w:pPr>
      <w:r>
        <w:lastRenderedPageBreak/>
        <w:t>Đây là cơ sở thực nghiệm để Chương 5 tiếp tục phát triển các kết luận, hàm ý quản trị và kiến nghị chính sách theo một logic thống nhất từ nâng cao giá trị sản phẩm, củng cố thái độ và sự đồng thuận xã hội, giảm rào cản thực hiện đến quản trị quá trình chuyển đổi từ Ý định mua sang mức độ sẵn sàng giao dịch.</w:t>
      </w:r>
      <w:r>
        <w:rPr>
          <w:color w:val="auto"/>
        </w:rPr>
        <w:br w:type="page"/>
      </w:r>
    </w:p>
    <w:p w:rsidR="00764EB5" w:rsidRDefault="00DF13CC" w:rsidP="007B644D">
      <w:pPr>
        <w:pStyle w:val="Heading1"/>
        <w:ind w:firstLine="0"/>
        <w:rPr>
          <w:color w:val="auto"/>
        </w:rPr>
      </w:pPr>
      <w:bookmarkStart w:id="669" w:name="_Toc241062503"/>
      <w:bookmarkStart w:id="670" w:name="_Toc241064443"/>
      <w:bookmarkStart w:id="671" w:name="_Toc241065376"/>
      <w:bookmarkStart w:id="672" w:name="_Toc241065594"/>
      <w:r>
        <w:rPr>
          <w:rFonts w:ascii="Times New Roman" w:hAnsi="Times New Roman"/>
          <w:color w:val="auto"/>
          <w:sz w:val="26"/>
        </w:rPr>
        <w:lastRenderedPageBreak/>
        <w:t>CHƯƠNG 5: KHUYẾN NGHỊ  HÀM Ý QUẢN TRỊ</w:t>
      </w:r>
      <w:bookmarkEnd w:id="669"/>
      <w:bookmarkEnd w:id="670"/>
      <w:bookmarkEnd w:id="671"/>
      <w:bookmarkEnd w:id="672"/>
    </w:p>
    <w:p w:rsidR="00764EB5" w:rsidRDefault="00764EB5" w:rsidP="003D6B28">
      <w:pPr>
        <w:rPr>
          <w:color w:val="auto"/>
          <w:sz w:val="18"/>
        </w:rPr>
      </w:pPr>
    </w:p>
    <w:p w:rsidR="00764EB5" w:rsidRPr="007B644D" w:rsidRDefault="00764EB5" w:rsidP="003D6B28">
      <w:pPr>
        <w:rPr>
          <w:color w:val="auto"/>
          <w:sz w:val="2"/>
        </w:rPr>
      </w:pPr>
    </w:p>
    <w:p w:rsidR="00764EB5" w:rsidRDefault="00DF13CC" w:rsidP="007B644D">
      <w:pPr>
        <w:pStyle w:val="Heading2"/>
      </w:pPr>
      <w:bookmarkStart w:id="673" w:name="_Toc241062504"/>
      <w:bookmarkStart w:id="674" w:name="_Toc241064444"/>
      <w:bookmarkStart w:id="675" w:name="_Toc241065377"/>
      <w:bookmarkStart w:id="676" w:name="_Toc241065595"/>
      <w:r>
        <w:t>5.1. Xác lập được xu hướng và triển vọng thị trường căn hộ chung cư  tại vùng Đông Nam Bộ</w:t>
      </w:r>
      <w:bookmarkEnd w:id="673"/>
      <w:bookmarkEnd w:id="674"/>
      <w:bookmarkEnd w:id="675"/>
      <w:bookmarkEnd w:id="676"/>
      <w:r>
        <w:t xml:space="preserve"> </w:t>
      </w:r>
    </w:p>
    <w:p w:rsidR="00764EB5" w:rsidRPr="007B644D" w:rsidRDefault="00DF13CC" w:rsidP="00021C6B">
      <w:pPr>
        <w:pStyle w:val="Heading3"/>
      </w:pPr>
      <w:bookmarkStart w:id="677" w:name="_Toc241062505"/>
      <w:bookmarkStart w:id="678" w:name="_Toc241064445"/>
      <w:bookmarkStart w:id="679" w:name="_Toc241065378"/>
      <w:bookmarkStart w:id="680" w:name="_Toc241065596"/>
      <w:r w:rsidRPr="007B644D">
        <w:t>5.1.1. Xác lập xu hướng phát triển thị  trường chung cư</w:t>
      </w:r>
      <w:bookmarkEnd w:id="677"/>
      <w:bookmarkEnd w:id="678"/>
      <w:bookmarkEnd w:id="679"/>
      <w:bookmarkEnd w:id="680"/>
      <w:r w:rsidRPr="007B644D">
        <w:t xml:space="preserve"> </w:t>
      </w:r>
    </w:p>
    <w:p w:rsidR="00764EB5" w:rsidRDefault="00DF13CC" w:rsidP="003D6B28">
      <w:pPr>
        <w:ind w:firstLine="0"/>
        <w:rPr>
          <w:i/>
          <w:color w:val="auto"/>
        </w:rPr>
      </w:pPr>
      <w:r>
        <w:rPr>
          <w:i/>
          <w:color w:val="auto"/>
        </w:rPr>
        <w:t>5.1.1.1.Cơ sở xác lập xu hướng phát triển thị trường</w:t>
      </w:r>
    </w:p>
    <w:p w:rsidR="00764EB5" w:rsidRDefault="00DF13CC" w:rsidP="003D6B28">
      <w:pPr>
        <w:rPr>
          <w:color w:val="auto"/>
        </w:rPr>
      </w:pPr>
      <w:r>
        <w:rPr>
          <w:color w:val="auto"/>
        </w:rPr>
        <w:t>Việc phân tích triển vọng thị trường căn hộ chung cư thương mại tại vùng Đông Nam Bộ đến năm 2035 nhằm đặt các kết quả thực nghiệm của luận án trong bối cảnh vận động trung và dài hạn của thị trường. Tuy nhiên, cần xác định rõ giới hạn phương pháp của nội dung này. Luận án không xây dựng mô hình kinh tế lượng dự báo thị trường, không sử dụng chuỗi thời gian đủ dài để ước lượng xu hướng giá, quy mô nguồn cung hoặc số lượng giao dịch đến năm 2035. Do đó, phương pháp phân tích xu hướng và xây dựng kịch bản được xây dựng dựa trên ba nhóm căn cứ: định hướng phát triển kinh tế – xã hội và đô thị của vùng; dữ liệu thứ cấp về dân số, nhà ở và thị trường bất động sản; và kết quả nghiên cứu thực nghiệm tại Chương 4.</w:t>
      </w:r>
    </w:p>
    <w:p w:rsidR="00764EB5" w:rsidRDefault="00DF13CC" w:rsidP="003D6B28">
      <w:pPr>
        <w:rPr>
          <w:color w:val="auto"/>
        </w:rPr>
      </w:pPr>
      <w:r>
        <w:rPr>
          <w:color w:val="auto"/>
        </w:rPr>
        <w:t>Cách tiếp cận này có ý nghĩa phương pháp luận quan trọng. Nếu chỉ ngoại suy xu hướng giá hoặc giao dịch của một vài năm gần đây đến năm 2035, kết quả có thể thiếu độ tin cậy bởi thị trường bất động sản chịu ảnh hưởng đồng thời của chu kỳ kinh tế, tín dụng, pháp luật, quy hoạch, đầu tư hạ tầng và kỳ vọng của nhà đầu tư. Vì vậy, luận án không đưa ra một con số điểm về giá căn hộ hoặc quy mô giao dịch vào năm 2035, mà xác định những động lực có tính cấu trúc, những ràng buộc có khả năng kéo dài và các kịch bản thị trường có thể hình thành.</w:t>
      </w:r>
    </w:p>
    <w:p w:rsidR="00764EB5" w:rsidRDefault="00DF13CC" w:rsidP="003D6B28">
      <w:pPr>
        <w:rPr>
          <w:color w:val="auto"/>
        </w:rPr>
      </w:pPr>
      <w:r>
        <w:rPr>
          <w:color w:val="auto"/>
        </w:rPr>
        <w:t>Về động lực phát triển dài hạn, Nghị quyết số 24-NQ/TW đặt mục tiêu tốc độ tăng trưởng GRDP bình quân vùng Đông Nam Bộ giai đoạn 2021–2030 đạt khoảng 8–8,5%/năm; đến năm 2030 GRDP bình quân đầu người theo giá hiện hành khoảng 380 triệu đồng, tương đương 14.500 USD, và tỷ lệ đô thị hóa đạt khoảng 70–75% (Bộ Chính trị, 2022).  Đây là các chỉ tiêu có ý nghĩa trực tiếp đối với thị trường nhà ở bởi tăng trưởng kinh tế, gia tăng thu nhập và đô thị hóa vừa làm gia tăng quy mô nhu cầu, vừa làm thay đổi cấu trúc nhu cầu từ nhà ở truyền thống sang các loại hình nhà ở phù hợp với không gian đô thị có mật độ cao.</w:t>
      </w:r>
    </w:p>
    <w:p w:rsidR="00764EB5" w:rsidRPr="007B644D" w:rsidRDefault="00DF13CC" w:rsidP="006575F3">
      <w:pPr>
        <w:spacing w:line="343" w:lineRule="auto"/>
        <w:rPr>
          <w:color w:val="auto"/>
          <w:spacing w:val="-4"/>
        </w:rPr>
      </w:pPr>
      <w:r w:rsidRPr="007B644D">
        <w:rPr>
          <w:color w:val="auto"/>
          <w:spacing w:val="-4"/>
        </w:rPr>
        <w:lastRenderedPageBreak/>
        <w:t>Quy hoạch vùng Đông Nam Bộ thời kỳ 2021–2030, tầm nhìn đến năm 2050 tiếp tục định hướng vùng trở thành động lực tăng trưởng lớn nhất cả nước, phát triển mạnh công nghiệp công nghệ cao, logistics, tài chính, khoa học – công nghệ, đồng thời hoàn thiện mạng lưới kết nối nội vùng và liên vùng (Thủ tướng Chính phủ, 2024). Vì vậy, nhu cầu căn hộ trong dài hạn không chỉ gắn với gia tăng dân số tự nhiên mà còn gắn với quá trình tập trung việc làm, di chuyển lao động và mở rộng các cực đô thị – công nghiệp.</w:t>
      </w:r>
    </w:p>
    <w:p w:rsidR="00764EB5" w:rsidRDefault="00DF13CC" w:rsidP="006575F3">
      <w:pPr>
        <w:spacing w:line="343" w:lineRule="auto"/>
        <w:rPr>
          <w:color w:val="auto"/>
        </w:rPr>
      </w:pPr>
      <w:r>
        <w:rPr>
          <w:color w:val="auto"/>
        </w:rPr>
        <w:t>Các bằng chứng dân số cho thấy cơ sở của xu hướng này đã hiện hữu. Theo Điều tra dân số và nhà ở giữa kỳ năm 2024, Đông Nam Bộ có tốc độ tăng dân số bình quân 1,46%/năm trong giai đoạn 2019–2024, cao nhất trong các vùng kinh tế – xã hội của cả nước. Trong 5 năm trước thời điểm điều tra, vùng tiếp nhận khoảng 615 nghìn người nhập cư từ các vùng khác, chiếm hơn một nửa lượng di cư giữa các vùng; đáng chú ý, 60,1% người di cư nằm trong nhóm 20–39 tuổi. Đây chính là nhóm tuổi có mức độ tham gia thị trường lao động cao và đồng thời là nhóm có khả năng hình thành nhu cầu lập gia đình, thuê và mua nhà ở đô thị trong trung hạn. Ở chiều ngược lại, áp lực nhà ở vẫn hiện hữu. Năm 2024, diện tích nhà ở bình quân toàn quốc đạt 26,6 m²/người nhưng đối với nhà chung cư chỉ đạt 21,1 m²/người; đặc biệt, 10,7% số hộ tại Đông Nam Bộ đang sống trong nhà ở có diện tích dưới 8 m²/người, tỷ lệ cao nhất trong sáu vùng kinh tế – xã hội (Tổng cục Thống kê, 2025). Những chỉ tiêu này cho thấy triển vọng của thị trường căn hộ không chỉ đến từ nhu cầu đầu tư mà có một nền tảng đáng kể từ nhu cầu cải thiện điều kiện cư trú thực tế.</w:t>
      </w:r>
    </w:p>
    <w:p w:rsidR="00764EB5" w:rsidRDefault="00DF13CC" w:rsidP="006575F3">
      <w:pPr>
        <w:spacing w:line="343" w:lineRule="auto"/>
        <w:rPr>
          <w:color w:val="auto"/>
        </w:rPr>
      </w:pPr>
      <w:r>
        <w:rPr>
          <w:color w:val="auto"/>
        </w:rPr>
        <w:t>Đối với thành phố Hồ Chí Minh, Quyết định số 1125/QĐ-TTg đặt mục tiêu diện tích sàn nhà ở bình quân khoảng 27–30 m²/người vào năm 2030 và 30–32 m²/người vào năm 2040, đồng thời định hướng nhà chung cư chiếm tỷ trọng lớn trong nhà ở xây dựng mới và ưu tiên phát triển nhà ở chi phí thấp, nhà ở cho thuê (Thủ tướng Chính phủ, 2025).  Mốc 2040 vượt quá thời điểm 2035 của luận án và vì vậy cung cấp một căn cứ quy hoạch tương đối rõ cho nhận định rằng phát triển nhà ở theo chiều cao tiếp tục là một xu hướng dài hạn của trung tâm vùng.</w:t>
      </w:r>
    </w:p>
    <w:p w:rsidR="00764EB5" w:rsidRDefault="00DF13CC" w:rsidP="006575F3">
      <w:pPr>
        <w:spacing w:line="343" w:lineRule="auto"/>
        <w:rPr>
          <w:color w:val="auto"/>
        </w:rPr>
      </w:pPr>
      <w:r>
        <w:rPr>
          <w:color w:val="auto"/>
        </w:rPr>
        <w:t xml:space="preserve">Như vậy, xét về phía cầu, dân số, di cư và đô thị hóa tạo ra nền tảng phát triển dài hạn. Xét về phía cung và khả năng hấp thụ, thị trường vẫn chịu những ràng buộc đáng kể. Chính sự đồng thời tồn tại của hai lực này là cơ sở để dự báo rằng thị </w:t>
      </w:r>
      <w:r>
        <w:rPr>
          <w:color w:val="auto"/>
        </w:rPr>
        <w:lastRenderedPageBreak/>
        <w:t>trường căn hộ Đông Nam Bộ đến năm 2035 có triển vọng tiếp tục mở rộng nhưng không vận động theo một quỹ đạo tăng trưởng tuyến tính.</w:t>
      </w:r>
    </w:p>
    <w:p w:rsidR="00764EB5" w:rsidRDefault="00DF13CC" w:rsidP="003D6B28">
      <w:pPr>
        <w:ind w:firstLine="0"/>
        <w:rPr>
          <w:i/>
        </w:rPr>
      </w:pPr>
      <w:r>
        <w:rPr>
          <w:i/>
        </w:rPr>
        <w:t xml:space="preserve">5.1.1.2.Một số xu hướng phát triển thị trường căn hộ chung cư </w:t>
      </w:r>
    </w:p>
    <w:p w:rsidR="00764EB5" w:rsidRDefault="00DF13CC" w:rsidP="00021C6B">
      <w:pPr>
        <w:pStyle w:val="Heading3"/>
      </w:pPr>
      <w:r>
        <w:t xml:space="preserve"> </w:t>
      </w:r>
      <w:bookmarkStart w:id="681" w:name="_Toc241062506"/>
      <w:bookmarkStart w:id="682" w:name="_Toc241064446"/>
      <w:bookmarkStart w:id="683" w:name="_Toc241065379"/>
      <w:bookmarkStart w:id="684" w:name="_Toc241065597"/>
      <w:r>
        <w:t>(1)Nhu cầu căn hộ tiếp tục tăng nhưng chuyển mạnh từ “nhu cầu chung” sang “nhu cầu có điều kiện”</w:t>
      </w:r>
      <w:bookmarkEnd w:id="681"/>
      <w:bookmarkEnd w:id="682"/>
      <w:bookmarkEnd w:id="683"/>
      <w:bookmarkEnd w:id="684"/>
    </w:p>
    <w:p w:rsidR="00764EB5" w:rsidRDefault="00DF13CC" w:rsidP="003D6B28">
      <w:pPr>
        <w:rPr>
          <w:color w:val="auto"/>
        </w:rPr>
      </w:pPr>
      <w:r>
        <w:rPr>
          <w:color w:val="auto"/>
        </w:rPr>
        <w:t>Một trong những nhận định quan trọng nhất có thể rút ra từ việc kết hợp dữ liệu thứ cấp với kết quả Chương 4 là: nhu cầu nhà ở tại Đông Nam Bộ có nền tảng tăng trưởng tương đối bền vững, nhưng khả năng chuyển nhu cầu thành giao dịch ngày càng phụ thuộc vào một hệ thống điều kiện phức tạp hơn.</w:t>
      </w:r>
    </w:p>
    <w:p w:rsidR="00764EB5" w:rsidRDefault="00DF13CC" w:rsidP="003D6B28">
      <w:pPr>
        <w:rPr>
          <w:color w:val="auto"/>
        </w:rPr>
      </w:pPr>
      <w:r>
        <w:rPr>
          <w:color w:val="auto"/>
        </w:rPr>
        <w:t xml:space="preserve">Dữ liệu năm 2025 cho thấy thị trường đã có dấu hiệu phục hồi. Theo Viện Kinh tế xây dựng – Bộ Xây dựng, GDP năm 2025 tăng khoảng 8,02%; ngành xây dựng tăng 9,62% và hoạt động kinh doanh bất động sản tăng 4,63%. Tổng vốn FDI đăng ký vào lĩnh vực bất động sản đạt khoảng 7,1 tỷ USD, chiếm 18,51% tổng vốn FDI đăng ký (Viện Kinh tế xây dựng - Bộ Xây dựng, 2026).  Riêng thị trường căn hộ thứ cấp TP. Hồ Chí Minh, lượng giao dịch năm 2025 tăng khoảng 11,7% và tỷ lệ hấp thụ tăng khoảng 10,8% so với năm 2024 (Viện Kinh tế xây dựng - Bộ Xây dựng, 2026). </w:t>
      </w:r>
    </w:p>
    <w:p w:rsidR="00764EB5" w:rsidRDefault="00DF13CC" w:rsidP="003D6B28">
      <w:pPr>
        <w:rPr>
          <w:color w:val="auto"/>
        </w:rPr>
      </w:pPr>
      <w:r>
        <w:rPr>
          <w:color w:val="auto"/>
        </w:rPr>
        <w:t>Tuy nhiên, phục hồi giao dịch không đồng nghĩa với việc vấn đề khả năng chi trả đã được giải quyết. Cũng trong năm 2025, Viện Kinh tế xây dựng ghi nhận các dự án nhà ở thương mại giá rẻ hầu như không còn xuất hiện, còn các căn hộ có tổng giá khoảng 2 tỷ đồng gần như biến mất khỏi thị trường Hà Nội và TP. Hồ Chí Minh (Viện Kinh tế xây dựng - Bộ Xây dựng, 2026).  CBRE ghi nhận phạm vi TP. Hồ Chí Minh trước sắp xếp chỉ có 3.135 căn hộ được mở bán mới trong năm 2025 (CBRE Việt Nam, 2026a) cho thấy nguồn cung căn hộ mới tại thị trường lõi vẫn ở mức hạn chế.</w:t>
      </w:r>
    </w:p>
    <w:p w:rsidR="00764EB5" w:rsidRDefault="00DF13CC" w:rsidP="003D6B28">
      <w:pPr>
        <w:rPr>
          <w:color w:val="auto"/>
        </w:rPr>
      </w:pPr>
      <w:r>
        <w:rPr>
          <w:color w:val="auto"/>
        </w:rPr>
        <w:t>Hai chiều hướng này tạo ra một vấn đề có tính cấu trúc: nhu cầu về nhà ở có thể tiếp tục tăng trong khi cầu có khả năng thanh toán không tăng cùng tốc độ. Đây cũng chính là điểm mà kết quả Chương 4 giúp giải thích sâu hơn.</w:t>
      </w:r>
    </w:p>
    <w:p w:rsidR="00764EB5" w:rsidRDefault="00DF13CC" w:rsidP="003D6B28">
      <w:pPr>
        <w:rPr>
          <w:color w:val="auto"/>
        </w:rPr>
      </w:pPr>
      <w:r>
        <w:rPr>
          <w:color w:val="auto"/>
        </w:rPr>
        <w:t xml:space="preserve">Trong mô hình nghiên cứu, Nhận thức kiểm soát hành vi (NTHV) có tác động dương đến Ý định mua (YDM), với β = 0,150. Mặc dù kích thước ảnh hưởng f² = </w:t>
      </w:r>
      <w:r>
        <w:rPr>
          <w:color w:val="auto"/>
        </w:rPr>
        <w:lastRenderedPageBreak/>
        <w:t>0,033 thấp hơn các biến khác, NTHV phản ánh khả năng mà người mua cảm nhận rằng họ có đủ nguồn lực và điều kiện để thực hiện quyết định. Điều này có nghĩa rằng khả năng tài chính không nhất thiết phải là yếu tố có hệ số lớn nhất mới có thể trở thành điểm nghẽn thực tế của giao dịch.</w:t>
      </w:r>
    </w:p>
    <w:p w:rsidR="00764EB5" w:rsidRDefault="00DF13CC" w:rsidP="003D6B28">
      <w:pPr>
        <w:rPr>
          <w:color w:val="auto"/>
        </w:rPr>
      </w:pPr>
      <w:r>
        <w:rPr>
          <w:color w:val="auto"/>
        </w:rPr>
        <w:t>Ý nghĩa này càng rõ hơn khi YDM giải thích 34,4% biến thiên của QDM. Phần biến thiên còn lại cho thấy từ ý định đến trạng thái sẵn sàng giao dịch vẫn còn một khoảng cách đáng kể, có thể chịu ảnh hưởng của khả năng tài chính thực tế, lãi suất, nguồn cung phù hợp, tiến độ pháp lý hoặc thay đổi của thị trường.</w:t>
      </w:r>
    </w:p>
    <w:p w:rsidR="00764EB5" w:rsidRDefault="00DF13CC" w:rsidP="003D6B28">
      <w:pPr>
        <w:rPr>
          <w:color w:val="auto"/>
        </w:rPr>
      </w:pPr>
      <w:r>
        <w:rPr>
          <w:color w:val="auto"/>
        </w:rPr>
        <w:t>Do đó, đến năm 2035, nhu cầu căn hộ có khả năng tiếp tục tăng về mặt cấu trúc nhưng thị trường sẽ chuyển ngày càng rõ từ câu hỏi “có nhu cầu mua nhà hay không” sang câu hỏi “sản phẩm nào có thể chuyển nhu cầu đó thành khả năng mua thực tế”. Phân khúc đáp ứng được đồng thời giá trị sử dụng, khả năng chi trả và sự an toàn của giao dịch có khả năng có nền tảng hấp thụ bền vững hơn những sản phẩm chỉ dựa trên kỳ vọng tăng giá.</w:t>
      </w:r>
    </w:p>
    <w:p w:rsidR="00764EB5" w:rsidRDefault="00DF13CC" w:rsidP="00021C6B">
      <w:pPr>
        <w:pStyle w:val="Heading3"/>
      </w:pPr>
      <w:bookmarkStart w:id="685" w:name="_Toc238480672"/>
      <w:bookmarkStart w:id="686" w:name="_Toc241062507"/>
      <w:bookmarkStart w:id="687" w:name="_Toc241064447"/>
      <w:bookmarkStart w:id="688" w:name="_Toc241065380"/>
      <w:bookmarkStart w:id="689" w:name="_Toc241065598"/>
      <w:r>
        <w:t>(2) Xu hướng dịch chuyển không gian thị trường và sự hình thành cấu trúc đa trung tâm</w:t>
      </w:r>
      <w:bookmarkEnd w:id="685"/>
      <w:bookmarkEnd w:id="686"/>
      <w:bookmarkEnd w:id="687"/>
      <w:bookmarkEnd w:id="688"/>
      <w:bookmarkEnd w:id="689"/>
    </w:p>
    <w:p w:rsidR="00764EB5" w:rsidRDefault="00DF13CC" w:rsidP="003D6B28">
      <w:pPr>
        <w:rPr>
          <w:color w:val="auto"/>
        </w:rPr>
      </w:pPr>
      <w:r>
        <w:rPr>
          <w:color w:val="auto"/>
        </w:rPr>
        <w:t>Một xu hướng dài hạn khác là sự dịch chuyển của thị trường căn hộ từ cấu trúc tập trung mạnh vào lõi phố. Hồ Chí Minh sang cấu trúc đa trung tâm gắn với các hành lang hạ tầng đô thị công nghiệp và các cực việc làm mới.</w:t>
      </w:r>
    </w:p>
    <w:p w:rsidR="00764EB5" w:rsidRDefault="00DF13CC" w:rsidP="003D6B28">
      <w:pPr>
        <w:rPr>
          <w:color w:val="auto"/>
        </w:rPr>
      </w:pPr>
      <w:r>
        <w:rPr>
          <w:color w:val="auto"/>
        </w:rPr>
        <w:t>Xu hướng này phù hợp với định hướng Quy hoạch vùng Đông Nam Bộ (Thủ tướng Chính phủ, 2024). Khi hạ tầng giao thông liên vùng và các khu vực công nghiệp – logistics tiếp tục được hoàn thiện, khoảng cách kinh tế giữa nơi làm việc và nơi cư trú có thể thay đổi. Khách hàng không còn nhất thiết phải lựa chọn một căn hộ gần trung tâm địa lý truyền thống, mà có thể đánh giá vị trí dựa trên khả năng tiếp cận việc làm, thời gian di chuyển, dịch vụ đô thị và mức giá phù hợp.</w:t>
      </w:r>
    </w:p>
    <w:p w:rsidR="00764EB5" w:rsidRDefault="00DF13CC" w:rsidP="003D6B28">
      <w:pPr>
        <w:rPr>
          <w:color w:val="auto"/>
        </w:rPr>
      </w:pPr>
      <w:r>
        <w:rPr>
          <w:color w:val="auto"/>
        </w:rPr>
        <w:t xml:space="preserve">Sự thay đổi đó có mối liên hệ trực tiếp với biến GTCN trong mô hình nghiên cứu. Giá trị cảm nhận không phải là giá bán đơn thuần mà là đánh giá tổng thể về những gì khách hàng nhận được tương quan với những gì họ phải bỏ ra (Zeithaml, 1988). Khi hạ tầng làm giảm chi phí di chuyển và cải thiện khả năng tiếp cận, một </w:t>
      </w:r>
      <w:r>
        <w:rPr>
          <w:color w:val="auto"/>
        </w:rPr>
        <w:lastRenderedPageBreak/>
        <w:t>căn hộ nằm ngoài khu vực trung tâm truyền thống nhưng có mức giá thấp hơn, không gian sống tốt hơn và kết nối thuận lợi có thể tạo ra giá trị cảm nhận cao hơn.</w:t>
      </w:r>
    </w:p>
    <w:p w:rsidR="00764EB5" w:rsidRDefault="00DF13CC" w:rsidP="007B644D">
      <w:pPr>
        <w:spacing w:line="343" w:lineRule="auto"/>
        <w:rPr>
          <w:color w:val="auto"/>
        </w:rPr>
      </w:pPr>
      <w:r>
        <w:rPr>
          <w:color w:val="auto"/>
        </w:rPr>
        <w:t>Do đó, đến năm 2035, Đồng Nai có điều kiện phát triển theo mô hình thị trường căn hộ gắn với công nghiệp, logistics, sân bay và các hành lang kết nối TP. Hồ Chí Minh; trong khi Tây Ninh có khả năng phát triển thận trọng hơn, gắn với quá trình đô thị hóa, công nghiệp và dịch vụ của địa phương. Tuy nhiên, luận án không sử dụng kết quả khảo sát để khẳng định tốc độ tăng trưởng riêng của từng địa bàn, bởi thiết kế nghiên cứu chưa thực hiện phân tích đa nhóm. Nhận định ở đây chỉ là xu hướng phát triển có cơ sở từ quy hoạch, không phải kết luận thống kê về khác biệt giữa các địa phương.</w:t>
      </w:r>
    </w:p>
    <w:p w:rsidR="00764EB5" w:rsidRDefault="00DF13CC" w:rsidP="00021C6B">
      <w:pPr>
        <w:pStyle w:val="Heading3"/>
      </w:pPr>
      <w:bookmarkStart w:id="690" w:name="_Toc238480673"/>
      <w:bookmarkStart w:id="691" w:name="_Toc241062508"/>
      <w:bookmarkStart w:id="692" w:name="_Toc241064448"/>
      <w:bookmarkStart w:id="693" w:name="_Toc241065381"/>
      <w:bookmarkStart w:id="694" w:name="_Toc241065599"/>
      <w:r>
        <w:t>(3) Giá trị cảm nhận trở thành trọng tâm cạnh tranh của thị trường căn hộ</w:t>
      </w:r>
      <w:bookmarkEnd w:id="690"/>
      <w:bookmarkEnd w:id="691"/>
      <w:bookmarkEnd w:id="692"/>
      <w:bookmarkEnd w:id="693"/>
      <w:bookmarkEnd w:id="694"/>
    </w:p>
    <w:p w:rsidR="00764EB5" w:rsidRDefault="00DF13CC" w:rsidP="007B644D">
      <w:pPr>
        <w:spacing w:line="343" w:lineRule="auto"/>
        <w:rPr>
          <w:color w:val="auto"/>
        </w:rPr>
      </w:pPr>
      <w:r>
        <w:rPr>
          <w:color w:val="auto"/>
        </w:rPr>
        <w:t>Kết quả Chương 4 cho thấy GTCN có β = 0,303 đối với YDM, cao hơn CCQ rất nhỏ (0,300), trong khi f² của GTCN là 0,135 so với 0,154 của CCQ. Do đó, không đủ cơ sở để khẳng định GTCN là yếu tố mạnh nhất, nhưng kết quả xác nhận rằng đánh giá tổng thể về căn hộ là một trong những nguồn hình thành Ý định mua đáng chú ý nhất trong mô hình.</w:t>
      </w:r>
    </w:p>
    <w:p w:rsidR="00764EB5" w:rsidRDefault="00DF13CC" w:rsidP="007B644D">
      <w:pPr>
        <w:spacing w:line="343" w:lineRule="auto"/>
        <w:rPr>
          <w:color w:val="auto"/>
        </w:rPr>
      </w:pPr>
      <w:r>
        <w:rPr>
          <w:color w:val="auto"/>
        </w:rPr>
        <w:t>Phát hiện này có ý nghĩa dự báo đối với cấu trúc cạnh tranh đến năm 2035. Khi thị trường phát triển và người mua có khả năng tiếp cận thông tin tốt hơn, cạnh tranh có xu hướng chuyển từ “có dự án để bán” sang “dự án nào tạo được giá trị có thể kiểm chứng cho khách hàng”.</w:t>
      </w:r>
    </w:p>
    <w:p w:rsidR="00764EB5" w:rsidRDefault="00DF13CC" w:rsidP="007B644D">
      <w:pPr>
        <w:spacing w:line="343" w:lineRule="auto"/>
        <w:rPr>
          <w:color w:val="auto"/>
        </w:rPr>
      </w:pPr>
      <w:r>
        <w:rPr>
          <w:color w:val="auto"/>
        </w:rPr>
        <w:t>Trong giai đoạn thị trường thiếu cung, chủ đầu tư có thể có lợi thế đáng kể chỉ nhờ sở hữu sản phẩm. Tuy nhiên, khi nguồn cung dần được cải thiện, sự khác biệt giữa các dự án sẽ ngày càng phụ thuộc vào tổng thể chất lượng, khả năng kết nối, dịch vụ, pháp lý, tiến độ, chi phí sở hữu và trải nghiệm sau bàn giao. Đây chính là sự chuyển đổi từ cạnh tranh dựa trên sự khan hiếm của tài sản sang cạnh tranh dựa trên chất lượng của giá trị cảm nhận.</w:t>
      </w:r>
    </w:p>
    <w:p w:rsidR="00764EB5" w:rsidRDefault="00DF13CC" w:rsidP="007B644D">
      <w:pPr>
        <w:spacing w:line="343" w:lineRule="auto"/>
        <w:rPr>
          <w:color w:val="auto"/>
        </w:rPr>
      </w:pPr>
      <w:r>
        <w:rPr>
          <w:color w:val="auto"/>
        </w:rPr>
        <w:t xml:space="preserve">Nguồn cung nhà ở thương mại năm 2026 có thể tăng nhẹ so với năm 2025; lượng giao dịch có khả năng tăng khi thị trường được bổ sung nguồn cung, trong khi giá nhà ở và đất nền trên phạm vi cả nước có thể tăng khoảng 5–7% so với năm 2025 (Viện Kinh tế xây dựng - Bộ Xây dựng, 2026). Đây là dự báo ngắn hạn ở cấp thị trường quốc gia, không thể ngoại suy cơ học thành mức tăng hàng năm đến </w:t>
      </w:r>
      <w:r>
        <w:rPr>
          <w:color w:val="auto"/>
        </w:rPr>
        <w:lastRenderedPageBreak/>
        <w:t>2035, nhưng cho thấy áp lực về giá và khả năng chi trả vẫn có thể tồn tại ngay cả khi nguồn cung hồi phục.</w:t>
      </w:r>
    </w:p>
    <w:p w:rsidR="00764EB5" w:rsidRDefault="00DF13CC" w:rsidP="003D6B28">
      <w:pPr>
        <w:rPr>
          <w:color w:val="auto"/>
        </w:rPr>
      </w:pPr>
      <w:r>
        <w:rPr>
          <w:color w:val="auto"/>
        </w:rPr>
        <w:t>Theo đó, giá trị cảm nhận trong tương lai sẽ ngày càng phụ thuộc vào khả năng doanh nghiệp chứng minh được rằng phần giá khách hàng phải trả tương xứng với lợi ích về chất lượng, vị trí, tiện ích, độ an toàn pháp lý và chi phí sử dụng dài hạn.</w:t>
      </w:r>
    </w:p>
    <w:p w:rsidR="00764EB5" w:rsidRPr="007B644D" w:rsidRDefault="00DF13CC" w:rsidP="00021C6B">
      <w:pPr>
        <w:pStyle w:val="Heading3"/>
      </w:pPr>
      <w:bookmarkStart w:id="695" w:name="_Toc238480674"/>
      <w:bookmarkStart w:id="696" w:name="_Toc241062509"/>
      <w:bookmarkStart w:id="697" w:name="_Toc241064449"/>
      <w:bookmarkStart w:id="698" w:name="_Toc241065382"/>
      <w:bookmarkStart w:id="699" w:name="_Toc241065600"/>
      <w:r w:rsidRPr="007B644D">
        <w:t>(4) Minh bạch pháp lý và uy tín thị trường chuyển từ lợi thế cạnh tranh thành điều kiện nền</w:t>
      </w:r>
      <w:bookmarkEnd w:id="695"/>
      <w:bookmarkEnd w:id="696"/>
      <w:bookmarkEnd w:id="697"/>
      <w:bookmarkEnd w:id="698"/>
      <w:bookmarkEnd w:id="699"/>
    </w:p>
    <w:p w:rsidR="00764EB5" w:rsidRDefault="00DF13CC" w:rsidP="003D6B28">
      <w:pPr>
        <w:rPr>
          <w:color w:val="auto"/>
        </w:rPr>
      </w:pPr>
      <w:r>
        <w:rPr>
          <w:color w:val="auto"/>
        </w:rPr>
        <w:t>Một đặc điểm khác có khả năng trở nên rõ nét đến năm 2035 là minh bạch pháp lý và độ tin cậy của chủ đầu tư chuyển dần từ một yếu tố tạo khác biệt thành điều kiện nền của thị trường.</w:t>
      </w:r>
    </w:p>
    <w:p w:rsidR="00764EB5" w:rsidRDefault="00DF13CC" w:rsidP="007B644D">
      <w:pPr>
        <w:spacing w:line="343" w:lineRule="auto"/>
        <w:rPr>
          <w:color w:val="auto"/>
        </w:rPr>
      </w:pPr>
      <w:r>
        <w:rPr>
          <w:color w:val="auto"/>
        </w:rPr>
        <w:t>Luận án không kiểm định pháp lý hoặc uy tín chủ đầu tư như các biến độc lập. Vì vậy, không thể suy luận từ kết quả PLS-SEM rằng pháp lý có β cụ thể nào đối với YDM. Các thuộc tính này nằm trong quá trình hình thành GTCN hoặc TD.</w:t>
      </w:r>
    </w:p>
    <w:p w:rsidR="00764EB5" w:rsidRDefault="00DF13CC" w:rsidP="007B644D">
      <w:pPr>
        <w:spacing w:line="343" w:lineRule="auto"/>
        <w:rPr>
          <w:color w:val="auto"/>
        </w:rPr>
      </w:pPr>
      <w:r>
        <w:rPr>
          <w:color w:val="auto"/>
        </w:rPr>
        <w:t>Tuy nhiên, ở cấp độ cơ chế, lý thuyết tín hiệu và rủi ro cảm nhận được trình bày tại Chương 2 cho thấy khi người mua không thể quan sát đầy đủ chất lượng của bất động sản tại thời điểm giao dịch, họ phải sử dụng những tín hiệu thay thế như hồ sơ pháp lý, lịch sử bàn giao và thương hiệu chủ đầu tư để đánh giá rủi ro.</w:t>
      </w:r>
    </w:p>
    <w:p w:rsidR="00764EB5" w:rsidRDefault="00DF13CC" w:rsidP="007B644D">
      <w:pPr>
        <w:spacing w:line="343" w:lineRule="auto"/>
        <w:rPr>
          <w:color w:val="auto"/>
        </w:rPr>
      </w:pPr>
      <w:r>
        <w:rPr>
          <w:color w:val="auto"/>
        </w:rPr>
        <w:t>Vì vậy, khi hệ thống pháp luật và cơ sở dữ liệu bất động sản được hoàn thiện, doanh nghiệp không minh bạch sẽ ngày càng chịu bất lợi. Ngược lại, khả năng công khai tình trạng pháp lý, tiến độ, nghĩa vụ tài chính, tiêu chuẩn bàn giao và lịch sử vận hành sẽ góp phần trực tiếp vào việc nâng cao GTCN và tạo TD tích cực.</w:t>
      </w:r>
    </w:p>
    <w:p w:rsidR="00764EB5" w:rsidRDefault="00DF13CC" w:rsidP="00021C6B">
      <w:pPr>
        <w:pStyle w:val="Heading3"/>
      </w:pPr>
      <w:bookmarkStart w:id="700" w:name="_Toc238480675"/>
      <w:bookmarkStart w:id="701" w:name="_Toc241062510"/>
      <w:bookmarkStart w:id="702" w:name="_Toc241064450"/>
      <w:bookmarkStart w:id="703" w:name="_Toc241065383"/>
      <w:bookmarkStart w:id="704" w:name="_Toc241065601"/>
      <w:r>
        <w:t>(5) Ảnh hưởng xã hội tiếp tục tồn tại song song với quá trình số hóa hành vi mua</w:t>
      </w:r>
      <w:bookmarkEnd w:id="700"/>
      <w:bookmarkEnd w:id="701"/>
      <w:bookmarkEnd w:id="702"/>
      <w:bookmarkEnd w:id="703"/>
      <w:bookmarkEnd w:id="704"/>
    </w:p>
    <w:p w:rsidR="00764EB5" w:rsidRDefault="00DF13CC" w:rsidP="007B644D">
      <w:pPr>
        <w:spacing w:line="343" w:lineRule="auto"/>
        <w:rPr>
          <w:color w:val="auto"/>
        </w:rPr>
      </w:pPr>
      <w:r>
        <w:rPr>
          <w:color w:val="auto"/>
        </w:rPr>
        <w:t>CCQ có β = 0,300 và f² = 0,154, tức kích thước ảnh hưởng riêng cao nhất trong bốn biến dự báo YDM. Kết quả này đáng chú ý bởi nó cho thấy một quyết định có giá trị lớn như mua căn hộ vẫn mang tính xã hội rõ rệt, ngay cả trong bối cảnh người tiêu dùng ngày càng chủ động tìm kiếm thông tin trên môi trường số.</w:t>
      </w:r>
    </w:p>
    <w:p w:rsidR="00764EB5" w:rsidRDefault="00DF13CC" w:rsidP="007B644D">
      <w:pPr>
        <w:spacing w:line="343" w:lineRule="auto"/>
        <w:rPr>
          <w:color w:val="auto"/>
        </w:rPr>
      </w:pPr>
      <w:r>
        <w:rPr>
          <w:color w:val="auto"/>
        </w:rPr>
        <w:t xml:space="preserve">Điều này phù hợp với kết quả tổng quan ở Chương 1 và lập luận TPB ở Chương 2. Một người có thể tự tìm kiếm dự án trên nền tảng số nhưng quyết định cuối cùng vẫn có thể chịu ảnh hưởng của vợ/chồng, cha mẹ, người cùng góp tài chính hoặc nhóm tham khảo. Vì vậy, quá trình số hóa thị trường đến năm 2035 có </w:t>
      </w:r>
      <w:r>
        <w:rPr>
          <w:color w:val="auto"/>
        </w:rPr>
        <w:lastRenderedPageBreak/>
        <w:t>thể làm thay đổi cách thức tiếp nhận thông tin nhưng không nhất thiết làm giảm tính xã hội của quyết định.</w:t>
      </w:r>
    </w:p>
    <w:p w:rsidR="00764EB5" w:rsidRPr="007B644D" w:rsidRDefault="00DF13CC" w:rsidP="007B644D">
      <w:pPr>
        <w:spacing w:line="343" w:lineRule="auto"/>
        <w:rPr>
          <w:color w:val="auto"/>
          <w:spacing w:val="-4"/>
        </w:rPr>
      </w:pPr>
      <w:r w:rsidRPr="007B644D">
        <w:rPr>
          <w:color w:val="auto"/>
          <w:spacing w:val="-4"/>
        </w:rPr>
        <w:t>Đây là một điểm có giá trị dự báo về hành vi. Doanh nghiệp bất động sản trong tương lai sẽ không chỉ cạnh tranh về khả năng tiếp cận người mua trên nền tảng số mà còn về khả năng xây dựng niềm tin trong hệ sinh thái những người tham gia quyết định.</w:t>
      </w:r>
    </w:p>
    <w:p w:rsidR="00764EB5" w:rsidRDefault="00DF13CC" w:rsidP="00021C6B">
      <w:pPr>
        <w:pStyle w:val="Heading3"/>
      </w:pPr>
      <w:bookmarkStart w:id="705" w:name="_Toc238480676"/>
      <w:bookmarkStart w:id="706" w:name="_Toc241062511"/>
      <w:bookmarkStart w:id="707" w:name="_Toc241064451"/>
      <w:bookmarkStart w:id="708" w:name="_Toc241065384"/>
      <w:bookmarkStart w:id="709" w:name="_Toc241065602"/>
      <w:r>
        <w:t>5.1.2. Ba kịch bản phát triển thị trường đến năm 2035</w:t>
      </w:r>
      <w:bookmarkEnd w:id="705"/>
      <w:bookmarkEnd w:id="706"/>
      <w:bookmarkEnd w:id="707"/>
      <w:bookmarkEnd w:id="708"/>
      <w:bookmarkEnd w:id="709"/>
    </w:p>
    <w:p w:rsidR="00764EB5" w:rsidRDefault="00DF13CC" w:rsidP="003D6B28">
      <w:pPr>
        <w:rPr>
          <w:color w:val="auto"/>
        </w:rPr>
      </w:pPr>
      <w:r>
        <w:rPr>
          <w:color w:val="auto"/>
        </w:rPr>
        <w:t>Trên cơ sở các động lực và ràng buộc nêu trên, có thể xây dựng ba kịch bản định tính cho thị trường căn hộ Đông Nam Bộ đến năm 2035.</w:t>
      </w:r>
    </w:p>
    <w:p w:rsidR="00764EB5" w:rsidRDefault="00DF13CC" w:rsidP="003D6B28">
      <w:pPr>
        <w:rPr>
          <w:color w:val="auto"/>
        </w:rPr>
      </w:pPr>
      <w:r>
        <w:rPr>
          <w:color w:val="auto"/>
        </w:rPr>
        <w:t>Kịch bản cơ sở được xem là kịch bản có tính tham khảo cao nhất. Quá trình đô thị hóa tiếp tục, kinh tế vùng duy trì tăng trưởng, hạ tầng từng bước được hoàn thiện và nguồn cung được cải thiện, song giá nhà vẫn tạo áp lực đối với khả năng chi trả. Trong kịch bản này, nhu cầu căn hộ tiếp tục tăng nhưng mức tăng giao dịch phân hóa mạnh theo địa bàn và phân khúc. GTCN, CCQ và khả năng tài chính tiếp tục là những cơ chế quan trọng trong hình thành và chuyển hóa ý định.</w:t>
      </w:r>
    </w:p>
    <w:p w:rsidR="00764EB5" w:rsidRDefault="00DF13CC" w:rsidP="003D6B28">
      <w:pPr>
        <w:rPr>
          <w:color w:val="auto"/>
        </w:rPr>
      </w:pPr>
      <w:r>
        <w:rPr>
          <w:color w:val="auto"/>
        </w:rPr>
        <w:t>Kịch bản thuận lợi hình thành nếu các mục tiêu tăng trưởng, đô thị hóa và hạ tầng cơ bản đạt theo định hướng (Bộ Chính trị, 2022; Thủ tướng Chính phủ,2024).  , đồng thời nguồn cung nhà ở trung cấp, nhà ở phù hợp khả năng chi trả được cải thiện và quy trình pháp lý trở nên minh bạch hơn. Khi đó, NTHV của khách hàng được cải thiện, GTCN gia tăng và khoảng cách giữa YDM với QDM có thể thu hẹp. Thị trường các đô thị vệ tinh có khả năng phát triển mạnh hơn nhờ sự dịch chuyển dân cư và cải thiện kết nối.</w:t>
      </w:r>
    </w:p>
    <w:p w:rsidR="00764EB5" w:rsidRDefault="00DF13CC" w:rsidP="003D6B28">
      <w:pPr>
        <w:rPr>
          <w:color w:val="auto"/>
        </w:rPr>
      </w:pPr>
      <w:r>
        <w:rPr>
          <w:color w:val="auto"/>
        </w:rPr>
        <w:t>Kịch bản hạn chế xuất hiện nếu giá nhà tiếp tục tăng nhanh hơn năng lực thanh toán, nguồn cung tiếp tục nghiêng về phân khúc cao, chi phí vốn tăng hoặc tiến độ hạ tầng – pháp lý chậm hơn kỳ vọng. Khi đó, nhu cầu và YDM vẫn có thể duy trì ở mức cao nhưng không chuyển thành QDM tương ứng. Thị trường có thể xuất hiện nghịch lý “nhu cầu lớn nhưng thanh khoản phân hóa”, trong đó sản phẩm phù hợp khả năng chi trả vẫn được hấp thụ trong khi những sản phẩm có giá vượt xa giá trị cảm nhận gặp khó khăn.</w:t>
      </w:r>
    </w:p>
    <w:p w:rsidR="00764EB5" w:rsidRDefault="00DF13CC" w:rsidP="007B644D">
      <w:pPr>
        <w:pStyle w:val="Heading2"/>
      </w:pPr>
      <w:bookmarkStart w:id="710" w:name="_Toc241062512"/>
      <w:bookmarkStart w:id="711" w:name="_Toc241064452"/>
      <w:bookmarkStart w:id="712" w:name="_Toc241065385"/>
      <w:bookmarkStart w:id="713" w:name="_Toc241065603"/>
      <w:r>
        <w:lastRenderedPageBreak/>
        <w:t>5.2. Khai thác các kết quả của luận án để giải thích cho thực tiễn</w:t>
      </w:r>
      <w:bookmarkEnd w:id="710"/>
      <w:bookmarkEnd w:id="711"/>
      <w:bookmarkEnd w:id="712"/>
      <w:bookmarkEnd w:id="713"/>
      <w:r>
        <w:t xml:space="preserve"> </w:t>
      </w:r>
    </w:p>
    <w:p w:rsidR="00764EB5" w:rsidRPr="007B644D" w:rsidRDefault="00DF13CC" w:rsidP="00021C6B">
      <w:pPr>
        <w:pStyle w:val="Heading3"/>
      </w:pPr>
      <w:bookmarkStart w:id="714" w:name="_Toc241062513"/>
      <w:bookmarkStart w:id="715" w:name="_Toc241064453"/>
      <w:bookmarkStart w:id="716" w:name="_Toc241065386"/>
      <w:bookmarkStart w:id="717" w:name="_Toc241065604"/>
      <w:r w:rsidRPr="007B644D">
        <w:t>5.2.1. Khai thác  kết quả nghiên cứu li</w:t>
      </w:r>
      <w:r w:rsidR="003D5693" w:rsidRPr="007B644D">
        <w:t>ê</w:t>
      </w:r>
      <w:r w:rsidRPr="007B644D">
        <w:t>n quan khoảng trống nghiên cứu</w:t>
      </w:r>
      <w:bookmarkEnd w:id="714"/>
      <w:bookmarkEnd w:id="715"/>
      <w:bookmarkEnd w:id="716"/>
      <w:bookmarkEnd w:id="717"/>
    </w:p>
    <w:p w:rsidR="00764EB5" w:rsidRDefault="00DF13CC" w:rsidP="006575F3">
      <w:pPr>
        <w:spacing w:line="367" w:lineRule="auto"/>
        <w:rPr>
          <w:color w:val="auto"/>
        </w:rPr>
      </w:pPr>
      <w:r>
        <w:rPr>
          <w:color w:val="auto"/>
        </w:rPr>
        <w:t>Luận án được hình thành từ ba vấn đề nghiên cứu trọng tâm đã xác định tại Chương 1. Một là, các nghiên cứu trước còn thiếu bằng chứng về việc kết hợp các cấu phần cốt lõi của TPB với Giá trị cảm nhận trong một mô hình phù hợp với bối cảnh vùng Đông Nam Bộ. Hai là, nhiều nghiên cứu chưa phân biệt rõ Ý định mua với hành vi mua hoặc mức độ sẵn sàng hành động. Ba là, bằng chứng thực nghiệm về hành vi mua căn hộ thường tập trung ở từng đô thị đơn lẻ, trong khi Đông Nam Bộ có tính phân hóa lớn về mức độ phát triển thị trường.</w:t>
      </w:r>
    </w:p>
    <w:p w:rsidR="00764EB5" w:rsidRDefault="00DF13CC" w:rsidP="006575F3">
      <w:pPr>
        <w:spacing w:line="367" w:lineRule="auto"/>
        <w:rPr>
          <w:color w:val="auto"/>
        </w:rPr>
      </w:pPr>
      <w:r>
        <w:rPr>
          <w:color w:val="auto"/>
        </w:rPr>
        <w:t>Kết quả Chương 4 đã lần lượt cung cấp bằng chứng cho các vấn đề trên. Mô hình TPB mở rộng với TD, CCQ, NTHV và GTCN giải thích 45,7% biến thiên của YDM; YDM giải thích 34,4% biến thiên của QDM. Kết quả này cho thấy mô hình có khả năng giải thích đáng kể nhưng không toàn diện, phù hợp với bản chất phức tạp của hành vi mua bất động sản.</w:t>
      </w:r>
    </w:p>
    <w:p w:rsidR="00764EB5" w:rsidRDefault="00DF13CC" w:rsidP="006575F3">
      <w:pPr>
        <w:spacing w:line="367" w:lineRule="auto"/>
        <w:rPr>
          <w:color w:val="auto"/>
        </w:rPr>
      </w:pPr>
      <w:r>
        <w:rPr>
          <w:color w:val="auto"/>
        </w:rPr>
        <w:t>Giá trị của kết quả vì vậy không nằm ở việc tuyên bố xây dựng một mô hình thay thế TPB, mà ở việc chứng minh rằng trong bối cảnh mua căn hộ Đông Nam Bộ, cấu trúc TPB vẫn có ý nghĩa giải thích khi được đặt cạnh đánh giá về giá trị sản phẩm.</w:t>
      </w:r>
    </w:p>
    <w:p w:rsidR="00764EB5" w:rsidRDefault="00DF13CC" w:rsidP="006575F3">
      <w:pPr>
        <w:pStyle w:val="Heading3"/>
        <w:spacing w:line="367" w:lineRule="auto"/>
      </w:pPr>
      <w:bookmarkStart w:id="718" w:name="_Toc241062514"/>
      <w:bookmarkStart w:id="719" w:name="_Toc241064454"/>
      <w:bookmarkStart w:id="720" w:name="_Toc241065387"/>
      <w:bookmarkStart w:id="721" w:name="_Toc241065605"/>
      <w:r>
        <w:t>5.2.2. Khai thác kết quả nghiên cứu để giải thích  sự đồng thời tồn tại của cơ chế tâm lý, xã hội và kinh tế trong Ý định mua</w:t>
      </w:r>
      <w:bookmarkEnd w:id="718"/>
      <w:bookmarkEnd w:id="719"/>
      <w:bookmarkEnd w:id="720"/>
      <w:bookmarkEnd w:id="721"/>
    </w:p>
    <w:p w:rsidR="00764EB5" w:rsidRDefault="00DF13CC" w:rsidP="006575F3">
      <w:pPr>
        <w:spacing w:line="367" w:lineRule="auto"/>
        <w:rPr>
          <w:color w:val="auto"/>
        </w:rPr>
      </w:pPr>
      <w:r>
        <w:rPr>
          <w:color w:val="auto"/>
        </w:rPr>
        <w:t>Một kết quả quan trọng của luận án là bốn nhóm nhân tố không vận động tách biệt mà đại diện cho bốn chiều khác nhau của quá trình ra quyết định. Thái độ (TD) phản ánh đánh giá của cá nhân đối với hành vi mua. CCQ phản ánh áp lực và sự ủng hộ từ môi trường xã hội. NTHV phản ánh khả năng kiểm soát nguồn lực và điều kiện thực hiện. GTCN phản ánh đánh giá tổng hợp đối với sản phẩm.</w:t>
      </w:r>
    </w:p>
    <w:p w:rsidR="00764EB5" w:rsidRDefault="00DF13CC" w:rsidP="006575F3">
      <w:pPr>
        <w:spacing w:line="367" w:lineRule="auto"/>
        <w:rPr>
          <w:color w:val="auto"/>
        </w:rPr>
      </w:pPr>
      <w:r>
        <w:rPr>
          <w:color w:val="auto"/>
        </w:rPr>
        <w:t>Xét về hệ số đường dẫn, GTCN đạt β = 0,303, CCQ = 0,300, TD = 0,271 và NTHV = 0,150. Xét theo f², thứ tự lại là CCQ = 0,154, GTCN = 0,135, TD = 0,119 và NTHV = 0,033.</w:t>
      </w:r>
    </w:p>
    <w:p w:rsidR="00764EB5" w:rsidRPr="007B644D" w:rsidRDefault="00DF13CC" w:rsidP="006575F3">
      <w:pPr>
        <w:spacing w:line="367" w:lineRule="auto"/>
        <w:rPr>
          <w:color w:val="auto"/>
          <w:spacing w:val="-4"/>
        </w:rPr>
      </w:pPr>
      <w:r w:rsidRPr="007B644D">
        <w:rPr>
          <w:color w:val="auto"/>
          <w:spacing w:val="-4"/>
        </w:rPr>
        <w:t xml:space="preserve">Sự khác nhau giữa β và f² cho thấy không nên xây dựng kết luận quản trị dựa trên một thứ hạng đơn nhất. GTCN có hệ số đường dẫn cao hơn CCQ rất nhỏ, nhưng CCQ </w:t>
      </w:r>
      <w:r w:rsidRPr="007B644D">
        <w:rPr>
          <w:color w:val="auto"/>
          <w:spacing w:val="-4"/>
        </w:rPr>
        <w:lastRenderedPageBreak/>
        <w:t>tạo ra phần đóng góp riêng vào khả năng giải thích YDM cao hơn. Vì vậy, kết quả phù hợp hơn với kết luận rằng GTCN và CCQ tạo thành hai trụ cột quan trọng theo hai cơ chế khác nhau: cơ chế đánh giá giá trị sản phẩm và cơ chế ảnh hưởng xã hội.</w:t>
      </w:r>
    </w:p>
    <w:p w:rsidR="007B644D" w:rsidRDefault="00DF13CC" w:rsidP="006575F3">
      <w:pPr>
        <w:spacing w:line="367" w:lineRule="auto"/>
        <w:rPr>
          <w:color w:val="auto"/>
        </w:rPr>
      </w:pPr>
      <w:r>
        <w:rPr>
          <w:color w:val="auto"/>
        </w:rPr>
        <w:t>Kết quả này có ý nghĩa lý thuyết bởi nó làm rõ rằng hành vi mua căn hộ không thể giải thích đầy đủ từ phía sản phẩm hoặc từ phía tâm lý cá nhân. Người mua đồng thời hỏi: “sản phẩm này có đáng mua hay không?”, “tôi có đánh giá tích cực về hành vi này hay không?”, “những người quan trọng đối với tôi có ủng hộ hay không?” và “tôi có đủ khả năng thực hiện hay không?”.</w:t>
      </w:r>
    </w:p>
    <w:p w:rsidR="007B644D" w:rsidRPr="007B644D" w:rsidRDefault="00DF13CC" w:rsidP="007B644D">
      <w:pPr>
        <w:spacing w:line="348" w:lineRule="auto"/>
        <w:ind w:firstLine="0"/>
        <w:rPr>
          <w:b/>
          <w:i/>
        </w:rPr>
      </w:pPr>
      <w:r w:rsidRPr="007B644D">
        <w:rPr>
          <w:b/>
          <w:i/>
        </w:rPr>
        <w:t>5.2.3. Sử dụng k</w:t>
      </w:r>
      <w:r w:rsidR="003D5693" w:rsidRPr="007B644D">
        <w:rPr>
          <w:b/>
          <w:i/>
        </w:rPr>
        <w:t>ế</w:t>
      </w:r>
      <w:r w:rsidRPr="007B644D">
        <w:rPr>
          <w:b/>
          <w:i/>
        </w:rPr>
        <w:t>t quả nghiên cứu để giả</w:t>
      </w:r>
      <w:r w:rsidR="003D5693" w:rsidRPr="007B644D">
        <w:rPr>
          <w:b/>
          <w:i/>
        </w:rPr>
        <w:t xml:space="preserve">i </w:t>
      </w:r>
      <w:r w:rsidRPr="007B644D">
        <w:rPr>
          <w:b/>
          <w:i/>
        </w:rPr>
        <w:t xml:space="preserve"> thích quan hệ  Ý định mua và khoảng cách ý định – hành động</w:t>
      </w:r>
    </w:p>
    <w:p w:rsidR="00764EB5" w:rsidRDefault="00DF13CC" w:rsidP="007B644D">
      <w:pPr>
        <w:spacing w:line="348" w:lineRule="auto"/>
        <w:rPr>
          <w:color w:val="auto"/>
        </w:rPr>
      </w:pPr>
      <w:r>
        <w:rPr>
          <w:color w:val="auto"/>
        </w:rPr>
        <w:t>YDM có β = 0,586 đối với QDM, với t = 13,614 và p &lt; 0,001; f² đạt 0,523. Đây là quan hệ có kích thước ảnh hưởng lớn nhất trong mô hình.</w:t>
      </w:r>
    </w:p>
    <w:p w:rsidR="00764EB5" w:rsidRDefault="00DF13CC" w:rsidP="007B644D">
      <w:pPr>
        <w:spacing w:line="336" w:lineRule="auto"/>
        <w:rPr>
          <w:color w:val="auto"/>
        </w:rPr>
      </w:pPr>
      <w:r>
        <w:rPr>
          <w:color w:val="auto"/>
        </w:rPr>
        <w:t>Kết quả này củng cố luận điểm cơ bản của TPB về vai trò gần của ý định đối với hành động (Ajzen, 1991). Tuy nhiên, đóng góp của luận án nằm ở việc không đồng nhất QDM với giao dịch đã hoàn thành. QDM phản ánh mức độ sẵn sàng tiến tới quyết định mua. Vì vậy, hệ số 0,586 không thể được diễn giải rằng “58,6% khách hàng có ý định sẽ mua căn hộ”, mà phản ánh mức độ liên hệ giữa hai cấu trúc trong mô hình.</w:t>
      </w:r>
    </w:p>
    <w:p w:rsidR="00764EB5" w:rsidRDefault="00DF13CC" w:rsidP="007B644D">
      <w:pPr>
        <w:spacing w:line="336" w:lineRule="auto"/>
        <w:rPr>
          <w:color w:val="auto"/>
        </w:rPr>
      </w:pPr>
      <w:r>
        <w:rPr>
          <w:color w:val="auto"/>
        </w:rPr>
        <w:t>R² = 0,344 của QDM cũng chứa đựng một hàm ý quan trọng: Ý định mua là điều kiện quan trọng nhưng không đủ để bảo đảm giao dịch. Đây chính là khoảng cách ý định – hành động đã được nhận diện ở Chương 1 và có ý nghĩa thực tiễn lớn đối với doanh nghiệp.</w:t>
      </w:r>
    </w:p>
    <w:p w:rsidR="00764EB5" w:rsidRDefault="00DF13CC" w:rsidP="007B644D">
      <w:pPr>
        <w:spacing w:line="336" w:lineRule="auto"/>
        <w:rPr>
          <w:color w:val="auto"/>
        </w:rPr>
      </w:pPr>
      <w:r>
        <w:rPr>
          <w:color w:val="auto"/>
        </w:rPr>
        <w:t>Người mua có thể có YDM cao nhưng chưa đạt QDM cao nếu chưa giải quyết được vấn đề nguồn vốn, khoản vay, pháp lý, lựa chọn căn hộ cụ thể hoặc sự đồng thuận của gia đình. Do đó, quản trị thị trường không nên dừng lại ở việc “tạo nhu cầu”, mà phải quản trị quá trình chuyển đổi nhu cầu thành khả năng giao dịch.</w:t>
      </w:r>
    </w:p>
    <w:p w:rsidR="00764EB5" w:rsidRPr="007B644D" w:rsidRDefault="00DF13CC" w:rsidP="00021C6B">
      <w:pPr>
        <w:pStyle w:val="Heading3"/>
      </w:pPr>
      <w:bookmarkStart w:id="722" w:name="_Toc241062515"/>
      <w:bookmarkStart w:id="723" w:name="_Toc241064455"/>
      <w:bookmarkStart w:id="724" w:name="_Toc241065388"/>
      <w:bookmarkStart w:id="725" w:name="_Toc241065606"/>
      <w:r w:rsidRPr="007B644D">
        <w:t>5.2.4. Sử dụng kết quả nghi</w:t>
      </w:r>
      <w:r w:rsidR="007B644D">
        <w:t>ê</w:t>
      </w:r>
      <w:r w:rsidRPr="007B644D">
        <w:t>n cứu đẻ giải thích  Ý nghĩa của các tác động gián tiếpđén quy</w:t>
      </w:r>
      <w:r w:rsidR="00441DFE" w:rsidRPr="007B644D">
        <w:t>ết đ</w:t>
      </w:r>
      <w:r w:rsidRPr="007B644D">
        <w:t>ịnh mua căn hộ chung cư vùng Đông Nam Bộ</w:t>
      </w:r>
      <w:bookmarkEnd w:id="722"/>
      <w:bookmarkEnd w:id="723"/>
      <w:bookmarkEnd w:id="724"/>
      <w:bookmarkEnd w:id="725"/>
    </w:p>
    <w:p w:rsidR="00764EB5" w:rsidRDefault="00DF13CC" w:rsidP="007B644D">
      <w:pPr>
        <w:spacing w:line="336" w:lineRule="auto"/>
        <w:rPr>
          <w:color w:val="auto"/>
        </w:rPr>
      </w:pPr>
      <w:r>
        <w:rPr>
          <w:color w:val="auto"/>
        </w:rPr>
        <w:t>Các tác động gián tiếp TD → YDM → QDM, CCQ → YDM → QDM, GTCN → YDM → QDM và NTHV → YDM → QDM lần lượt đạt 0,159; 0,176; 0,177 và 0,088 và đều có ý nghĩa thống kê.</w:t>
      </w:r>
    </w:p>
    <w:p w:rsidR="00764EB5" w:rsidRDefault="00DF13CC" w:rsidP="007B644D">
      <w:pPr>
        <w:spacing w:line="336" w:lineRule="auto"/>
        <w:rPr>
          <w:color w:val="auto"/>
        </w:rPr>
      </w:pPr>
      <w:r>
        <w:rPr>
          <w:color w:val="auto"/>
        </w:rPr>
        <w:lastRenderedPageBreak/>
        <w:t>Kết quả cho thấy những yếu tố hình thành Ý định mua đồng thời có liên hệ gián tiếp với mức độ sẵn sàng ra quyết định thông qua YDM. Điều này làm rõ cấu trúc hành vi theo tiến trình: đánh giá – hình thành ý định – tiến gần tới quyết định.</w:t>
      </w:r>
    </w:p>
    <w:p w:rsidR="00764EB5" w:rsidRDefault="00DF13CC" w:rsidP="007B644D">
      <w:pPr>
        <w:spacing w:line="336" w:lineRule="auto"/>
        <w:rPr>
          <w:color w:val="auto"/>
        </w:rPr>
      </w:pPr>
      <w:r>
        <w:rPr>
          <w:color w:val="auto"/>
        </w:rPr>
        <w:t>Tuy nhiên, vì mô hình không bao gồm đầy đủ đường trực tiếp từ TD, CCQ, NTHV và GTCN đến QDM nên không đủ cơ sở để phân loại YDM thành trung gian toàn phần hoặc một phần. Việc duy trì giới hạn này là cần thiết để bảo đảm Chương 5 không đưa ra kết luận vượt quá cấu trúc đã kiểm định tại Chương 4.</w:t>
      </w:r>
    </w:p>
    <w:p w:rsidR="00764EB5" w:rsidRDefault="00DF13CC" w:rsidP="007B644D">
      <w:pPr>
        <w:pStyle w:val="Heading2"/>
      </w:pPr>
      <w:bookmarkStart w:id="726" w:name="_Toc241062516"/>
      <w:bookmarkStart w:id="727" w:name="_Toc241064456"/>
      <w:bookmarkStart w:id="728" w:name="_Toc241065389"/>
      <w:bookmarkStart w:id="729" w:name="_Toc241065607"/>
      <w:r>
        <w:t>5.3. Khai thác các kết quả  phân tích yếu tố ảnh hưởng cho quản trị các yếu tố và quản trị theo địa bàn</w:t>
      </w:r>
      <w:bookmarkEnd w:id="726"/>
      <w:bookmarkEnd w:id="727"/>
      <w:bookmarkEnd w:id="728"/>
      <w:bookmarkEnd w:id="729"/>
      <w:r>
        <w:t xml:space="preserve"> </w:t>
      </w:r>
    </w:p>
    <w:p w:rsidR="00764EB5" w:rsidRDefault="00DF13CC" w:rsidP="00137C18">
      <w:pPr>
        <w:ind w:firstLine="0"/>
        <w:outlineLvl w:val="0"/>
        <w:rPr>
          <w:b/>
          <w:i/>
        </w:rPr>
      </w:pPr>
      <w:bookmarkStart w:id="730" w:name="_Toc241064457"/>
      <w:bookmarkStart w:id="731" w:name="_Toc241065390"/>
      <w:bookmarkStart w:id="732" w:name="_Toc241065608"/>
      <w:r>
        <w:rPr>
          <w:b/>
          <w:i/>
        </w:rPr>
        <w:t>5.3.1.Hàm ý quản trị theo các yếu tố</w:t>
      </w:r>
      <w:bookmarkEnd w:id="730"/>
      <w:bookmarkEnd w:id="731"/>
      <w:bookmarkEnd w:id="732"/>
    </w:p>
    <w:p w:rsidR="00764EB5" w:rsidRPr="006575F3" w:rsidRDefault="00DF13CC" w:rsidP="00021C6B">
      <w:pPr>
        <w:pStyle w:val="Heading3"/>
        <w:rPr>
          <w:b w:val="0"/>
        </w:rPr>
      </w:pPr>
      <w:bookmarkStart w:id="733" w:name="_Toc241062517"/>
      <w:bookmarkStart w:id="734" w:name="_Toc241064458"/>
      <w:bookmarkStart w:id="735" w:name="_Toc241065391"/>
      <w:bookmarkStart w:id="736" w:name="_Toc241065609"/>
      <w:r w:rsidRPr="006575F3">
        <w:rPr>
          <w:b w:val="0"/>
        </w:rPr>
        <w:t>5.3.1.1. Hàm ý quản trị từ Giá trị cảm nhận căn hộ</w:t>
      </w:r>
      <w:bookmarkEnd w:id="733"/>
      <w:bookmarkEnd w:id="734"/>
      <w:bookmarkEnd w:id="735"/>
      <w:bookmarkEnd w:id="736"/>
    </w:p>
    <w:p w:rsidR="00764EB5" w:rsidRDefault="00DF13CC" w:rsidP="003D6B28">
      <w:pPr>
        <w:rPr>
          <w:color w:val="auto"/>
        </w:rPr>
      </w:pPr>
      <w:r>
        <w:rPr>
          <w:color w:val="auto"/>
        </w:rPr>
        <w:t>GTCN có quan hệ dương và có ý nghĩa với YDM, nhưng kết quả không chứng minh tác động độc lập của từng thuộc tính cấu thành. Vì vậy, hàm ý quản trị phù hợp không phải là khuyến nghị doanh nghiệp chỉ tập trung vào vị trí, phong thủy hay pháp lý, mà là quản trị giá trị tổng thể của căn hộ.</w:t>
      </w:r>
    </w:p>
    <w:p w:rsidR="00764EB5" w:rsidRDefault="00DF13CC" w:rsidP="007B644D">
      <w:pPr>
        <w:spacing w:line="348" w:lineRule="auto"/>
        <w:rPr>
          <w:color w:val="auto"/>
        </w:rPr>
      </w:pPr>
      <w:r>
        <w:rPr>
          <w:color w:val="auto"/>
        </w:rPr>
        <w:t>Doanh nghiệp cần xây dựng một “hồ sơ giá trị” cho từng sản phẩm, trong đó khách hàng có thể nhận diện rõ lợi ích nhận được và tổng nguồn lực phải bỏ ra. Nội dung cần bao gồm chất lượng xây dựng, diện tích sử dụng, khả năng kết nối, tiện ích, pháp lý, tiêu chuẩn bàn giao, chi phí quản lý, chi phí tài chính và những rủi ro có thể phát sinh.</w:t>
      </w:r>
    </w:p>
    <w:p w:rsidR="00764EB5" w:rsidRDefault="00DF13CC" w:rsidP="007B644D">
      <w:pPr>
        <w:spacing w:line="348" w:lineRule="auto"/>
        <w:rPr>
          <w:color w:val="auto"/>
        </w:rPr>
      </w:pPr>
      <w:r>
        <w:rPr>
          <w:color w:val="auto"/>
        </w:rPr>
        <w:t>Đặc biệt, trong bối cảnh căn hộ giá thấp ngày càng khan hiếm [27], việc tăng số lượng tiện ích nhưng đồng thời làm giá bán vượt khả năng chi trả không nhất thiết làm tăng GTCN. Giá trị cảm nhận là một quan hệ tương đối giữa lợi ích và chi phí, chứ không phải tổng số đặc tính mà chủ đầu tư đưa vào sản phẩm.</w:t>
      </w:r>
    </w:p>
    <w:p w:rsidR="00764EB5" w:rsidRDefault="00DF13CC" w:rsidP="007B644D">
      <w:pPr>
        <w:spacing w:line="348" w:lineRule="auto"/>
        <w:rPr>
          <w:color w:val="auto"/>
        </w:rPr>
      </w:pPr>
      <w:r>
        <w:rPr>
          <w:color w:val="auto"/>
        </w:rPr>
        <w:t>Vì vậy, chiến lược tối ưu không phải là “tối đa hóa tiện ích” mà là tối ưu hóa cấu hình giá trị theo đúng phân khúc khách hàng.</w:t>
      </w:r>
    </w:p>
    <w:p w:rsidR="00764EB5" w:rsidRPr="006575F3" w:rsidRDefault="00DF13CC" w:rsidP="00021C6B">
      <w:pPr>
        <w:pStyle w:val="Heading3"/>
        <w:rPr>
          <w:b w:val="0"/>
        </w:rPr>
      </w:pPr>
      <w:bookmarkStart w:id="737" w:name="_Toc241062518"/>
      <w:bookmarkStart w:id="738" w:name="_Toc241064459"/>
      <w:bookmarkStart w:id="739" w:name="_Toc241065392"/>
      <w:bookmarkStart w:id="740" w:name="_Toc241065610"/>
      <w:r w:rsidRPr="006575F3">
        <w:rPr>
          <w:b w:val="0"/>
        </w:rPr>
        <w:t>5.3.1.2. Hàm ý quản trị  từ Chuẩn chủ quan</w:t>
      </w:r>
      <w:bookmarkEnd w:id="737"/>
      <w:bookmarkEnd w:id="738"/>
      <w:bookmarkEnd w:id="739"/>
      <w:bookmarkEnd w:id="740"/>
    </w:p>
    <w:p w:rsidR="00764EB5" w:rsidRDefault="00DF13CC" w:rsidP="007B644D">
      <w:pPr>
        <w:spacing w:line="348" w:lineRule="auto"/>
        <w:rPr>
          <w:color w:val="auto"/>
        </w:rPr>
      </w:pPr>
      <w:r>
        <w:rPr>
          <w:color w:val="auto"/>
        </w:rPr>
        <w:t>CCQ có β gần tương đương GTCN và f² cao hơn GTCN. Điều này cho thấy doanh nghiệp cần nhìn nhận người mua căn hộ như một thành viên của một đơn vị ra quyết định xã hội, thay vì một khách hàng hoàn toàn độc lập.</w:t>
      </w:r>
    </w:p>
    <w:p w:rsidR="00764EB5" w:rsidRDefault="00DF13CC" w:rsidP="007B644D">
      <w:pPr>
        <w:spacing w:line="348" w:lineRule="auto"/>
        <w:rPr>
          <w:color w:val="auto"/>
        </w:rPr>
      </w:pPr>
      <w:r>
        <w:rPr>
          <w:color w:val="auto"/>
        </w:rPr>
        <w:lastRenderedPageBreak/>
        <w:t>Trong nhiều giao dịch, người tìm kiếm thông tin không phải là người duy nhất đưa ra quyết định. Vợ/chồng, cha mẹ hoặc người cùng tham gia tài chính có thể ảnh hưởng đáng kể đến lựa chọn cuối cùng. Do đó, hoạt động tư vấn cần cho phép các thành viên liên quan cùng tiếp cận thông tin về pháp lý, tài chính và sản phẩm.</w:t>
      </w:r>
    </w:p>
    <w:p w:rsidR="00764EB5" w:rsidRDefault="00DF13CC" w:rsidP="007B644D">
      <w:pPr>
        <w:spacing w:line="348" w:lineRule="auto"/>
        <w:rPr>
          <w:color w:val="auto"/>
        </w:rPr>
      </w:pPr>
      <w:r>
        <w:rPr>
          <w:color w:val="auto"/>
        </w:rPr>
        <w:t>Truyền thông xã hội cần chuyển từ tạo “hiệu ứng đám đông” sang xây dựng bằng chứng xã hội có thể kiểm chứng, chẳng hạn trải nghiệm cư dân, chất lượng vận hành, mức độ hoàn thành cam kết và phản hồi sau bàn giao.</w:t>
      </w:r>
    </w:p>
    <w:p w:rsidR="00764EB5" w:rsidRPr="006575F3" w:rsidRDefault="00DF13CC" w:rsidP="00021C6B">
      <w:pPr>
        <w:pStyle w:val="Heading3"/>
        <w:rPr>
          <w:b w:val="0"/>
        </w:rPr>
      </w:pPr>
      <w:bookmarkStart w:id="741" w:name="_Toc241062519"/>
      <w:bookmarkStart w:id="742" w:name="_Toc241064460"/>
      <w:bookmarkStart w:id="743" w:name="_Toc241065393"/>
      <w:bookmarkStart w:id="744" w:name="_Toc241065611"/>
      <w:r w:rsidRPr="006575F3">
        <w:rPr>
          <w:b w:val="0"/>
        </w:rPr>
        <w:t>5.3.1.3. Hàm ý quản trị từ Thái độ</w:t>
      </w:r>
      <w:bookmarkEnd w:id="741"/>
      <w:bookmarkEnd w:id="742"/>
      <w:bookmarkEnd w:id="743"/>
      <w:bookmarkEnd w:id="744"/>
    </w:p>
    <w:p w:rsidR="00764EB5" w:rsidRDefault="00DF13CC" w:rsidP="006575F3">
      <w:pPr>
        <w:spacing w:line="353" w:lineRule="auto"/>
        <w:rPr>
          <w:color w:val="auto"/>
        </w:rPr>
      </w:pPr>
      <w:r>
        <w:rPr>
          <w:color w:val="auto"/>
        </w:rPr>
        <w:t>TD tác động dương đến YDM với β = 0,271. Điều này cho thấy thái độ tích cực đối với hành vi mua không nên được hình thành chỉ bằng thông điệp quảng cáo mà phải dựa trên trải nghiệm và khả năng đánh giá thực tế.</w:t>
      </w:r>
    </w:p>
    <w:p w:rsidR="00764EB5" w:rsidRDefault="00DF13CC" w:rsidP="006575F3">
      <w:pPr>
        <w:spacing w:line="353" w:lineRule="auto"/>
        <w:rPr>
          <w:color w:val="auto"/>
        </w:rPr>
      </w:pPr>
      <w:r>
        <w:rPr>
          <w:color w:val="auto"/>
        </w:rPr>
        <w:t>Doanh nghiệp cần cung cấp điều kiện để khách hàng kiểm chứng sản phẩm thông qua căn hộ mẫu, tham quan dự án, mô phỏng không gian sống, thông tin về tổng chi phí sở hữu và tiêu chuẩn vận hành.</w:t>
      </w:r>
    </w:p>
    <w:p w:rsidR="00764EB5" w:rsidRDefault="00DF13CC" w:rsidP="006575F3">
      <w:pPr>
        <w:spacing w:line="353" w:lineRule="auto"/>
        <w:rPr>
          <w:color w:val="auto"/>
        </w:rPr>
      </w:pPr>
      <w:r>
        <w:rPr>
          <w:color w:val="auto"/>
        </w:rPr>
        <w:t>Xét trong dài hạn, một thái độ tích cực bền vững được tạo ra khi thông tin trước bán thống nhất với trải nghiệm sau bán. Nếu quảng cáo tạo kỳ vọng cao nhưng bàn giao và vận hành không tương xứng, doanh nghiệp có thể tạo TD tích cực trong ngắn hạn nhưng làm suy giảm GTCN và niềm tin của thị trường trong dài hạn.</w:t>
      </w:r>
    </w:p>
    <w:p w:rsidR="00764EB5" w:rsidRPr="006575F3" w:rsidRDefault="00DF13CC" w:rsidP="006575F3">
      <w:pPr>
        <w:pStyle w:val="Heading3"/>
        <w:spacing w:line="353" w:lineRule="auto"/>
        <w:rPr>
          <w:b w:val="0"/>
        </w:rPr>
      </w:pPr>
      <w:bookmarkStart w:id="745" w:name="_Toc238480686"/>
      <w:bookmarkStart w:id="746" w:name="_Toc241062520"/>
      <w:bookmarkStart w:id="747" w:name="_Toc241064461"/>
      <w:bookmarkStart w:id="748" w:name="_Toc241065394"/>
      <w:bookmarkStart w:id="749" w:name="_Toc241065612"/>
      <w:r w:rsidRPr="006575F3">
        <w:rPr>
          <w:b w:val="0"/>
        </w:rPr>
        <w:t>5.3.1.4. Hàm ý quản trị từ Nhận thức kiểm soát hành vi</w:t>
      </w:r>
      <w:bookmarkEnd w:id="745"/>
      <w:bookmarkEnd w:id="746"/>
      <w:bookmarkEnd w:id="747"/>
      <w:bookmarkEnd w:id="748"/>
      <w:bookmarkEnd w:id="749"/>
    </w:p>
    <w:p w:rsidR="00764EB5" w:rsidRDefault="00DF13CC" w:rsidP="006575F3">
      <w:pPr>
        <w:spacing w:line="353" w:lineRule="auto"/>
        <w:rPr>
          <w:color w:val="auto"/>
        </w:rPr>
      </w:pPr>
      <w:r>
        <w:rPr>
          <w:color w:val="auto"/>
        </w:rPr>
        <w:t>Mặc dù NTHV có β và f² thấp hơn các biến khác, không nên coi yếu tố này là thứ yếu trong thực tiễn. NTHV phản ánh khả năng chuyển “mong muốn” thành “khả năng hành động”.</w:t>
      </w:r>
    </w:p>
    <w:p w:rsidR="00764EB5" w:rsidRDefault="00DF13CC" w:rsidP="006575F3">
      <w:pPr>
        <w:spacing w:line="353" w:lineRule="auto"/>
        <w:rPr>
          <w:color w:val="auto"/>
        </w:rPr>
      </w:pPr>
      <w:r>
        <w:rPr>
          <w:color w:val="auto"/>
        </w:rPr>
        <w:t>Doanh nghiệp cần xây dựng công cụ giúp khách hàng đánh giá khả năng thanh toán theo toàn bộ vòng đời của khoản vay, không chỉ theo số tiền phải trả trong những kỳ đầu. Thông tin về tỷ lệ vốn tự có, dòng tiền thanh toán, lãi suất, chi phí phát sinh và các nghĩa vụ tài chính cần được trình bày rõ.</w:t>
      </w:r>
    </w:p>
    <w:p w:rsidR="00764EB5" w:rsidRDefault="00DF13CC" w:rsidP="006575F3">
      <w:pPr>
        <w:spacing w:line="353" w:lineRule="auto"/>
        <w:rPr>
          <w:color w:val="auto"/>
        </w:rPr>
      </w:pPr>
      <w:r>
        <w:rPr>
          <w:color w:val="auto"/>
        </w:rPr>
        <w:t>Đồng thời, quy trình giao dịch cần được chuẩn hóa để khách hàng biết rõ từng bước, thời hạn, hồ sơ và trách nhiệm của các bên. Việc giảm bất định thủ tục làm tăng cảm nhận kiểm soát và có thể hỗ trợ chuyển hóa YDM thành QDM.</w:t>
      </w:r>
    </w:p>
    <w:p w:rsidR="00764EB5" w:rsidRPr="006575F3" w:rsidRDefault="00DF13CC" w:rsidP="006575F3">
      <w:pPr>
        <w:pStyle w:val="Heading3"/>
        <w:spacing w:line="353" w:lineRule="auto"/>
        <w:rPr>
          <w:b w:val="0"/>
        </w:rPr>
      </w:pPr>
      <w:bookmarkStart w:id="750" w:name="_Toc238480687"/>
      <w:bookmarkStart w:id="751" w:name="_Toc241062521"/>
      <w:bookmarkStart w:id="752" w:name="_Toc241064462"/>
      <w:bookmarkStart w:id="753" w:name="_Toc241065395"/>
      <w:bookmarkStart w:id="754" w:name="_Toc241065613"/>
      <w:r w:rsidRPr="006575F3">
        <w:rPr>
          <w:b w:val="0"/>
        </w:rPr>
        <w:lastRenderedPageBreak/>
        <w:t>5.3.1.5. Hàm ý quản trị từ quá trình chuyển Ý định mua thành QDM</w:t>
      </w:r>
      <w:bookmarkEnd w:id="750"/>
      <w:bookmarkEnd w:id="751"/>
      <w:bookmarkEnd w:id="752"/>
      <w:bookmarkEnd w:id="753"/>
      <w:bookmarkEnd w:id="754"/>
    </w:p>
    <w:p w:rsidR="00764EB5" w:rsidRPr="007B644D" w:rsidRDefault="00DF13CC" w:rsidP="006575F3">
      <w:pPr>
        <w:spacing w:line="353" w:lineRule="auto"/>
        <w:rPr>
          <w:color w:val="auto"/>
          <w:spacing w:val="-4"/>
        </w:rPr>
      </w:pPr>
      <w:r w:rsidRPr="007B644D">
        <w:rPr>
          <w:color w:val="auto"/>
          <w:spacing w:val="-4"/>
        </w:rPr>
        <w:t>YDM → QDM là mối quan hệ mạnh nhất của mô hình. Vì vậy, trọng tâm quản trị không nên dừng ở thu hút “lead” mà phải chuyển sang quản trị hành trình chuyển đổi.</w:t>
      </w:r>
    </w:p>
    <w:p w:rsidR="00764EB5" w:rsidRDefault="00DF13CC" w:rsidP="006575F3">
      <w:pPr>
        <w:spacing w:line="353" w:lineRule="auto"/>
        <w:rPr>
          <w:color w:val="auto"/>
        </w:rPr>
      </w:pPr>
      <w:r>
        <w:rPr>
          <w:color w:val="auto"/>
        </w:rPr>
        <w:t>Doanh nghiệp có thể phân biệt các giai đoạn: nhận biết → tìm hiểu → hình thành YDM → lựa chọn dự án → đánh giá tài chính → lựa chọn căn cụ thể → hoàn thiện hồ sơ → sẵn sàng giao dịch.</w:t>
      </w:r>
    </w:p>
    <w:p w:rsidR="00764EB5" w:rsidRDefault="00DF13CC" w:rsidP="003D6B28">
      <w:pPr>
        <w:rPr>
          <w:color w:val="auto"/>
        </w:rPr>
      </w:pPr>
      <w:r>
        <w:rPr>
          <w:color w:val="auto"/>
        </w:rPr>
        <w:t>Mỗi giai đoạn cần có chỉ tiêu quản trị riêng. Đặc biệt, nên theo dõi tỷ lệ khách hàng rời bỏ giữa các bước, thời gian hoàn tất hồ sơ, tỷ lệ từ chối tín dụng, tỷ lệ hủy đặt cọc và nguyên nhân không chuyển đổi.</w:t>
      </w:r>
    </w:p>
    <w:p w:rsidR="00764EB5" w:rsidRDefault="00DF13CC" w:rsidP="006575F3">
      <w:pPr>
        <w:spacing w:line="336" w:lineRule="auto"/>
        <w:rPr>
          <w:color w:val="auto"/>
        </w:rPr>
      </w:pPr>
      <w:r>
        <w:rPr>
          <w:color w:val="auto"/>
        </w:rPr>
        <w:t>Cách tiếp cận này có giá trị hơn việc chỉ đo số lượng khách đăng ký bởi nó trực tiếp quản trị phần khoảng cách giữa YDM và QDM mà kết quả Chương 4 đã chỉ ra.</w:t>
      </w:r>
    </w:p>
    <w:p w:rsidR="00764EB5" w:rsidRPr="007B644D" w:rsidRDefault="00DF13CC" w:rsidP="006575F3">
      <w:pPr>
        <w:pStyle w:val="Heading3"/>
        <w:spacing w:line="336" w:lineRule="auto"/>
      </w:pPr>
      <w:bookmarkStart w:id="755" w:name="_Toc238480688"/>
      <w:bookmarkStart w:id="756" w:name="_Toc241062522"/>
      <w:bookmarkStart w:id="757" w:name="_Toc241064463"/>
      <w:bookmarkStart w:id="758" w:name="_Toc241065396"/>
      <w:bookmarkStart w:id="759" w:name="_Toc241065614"/>
      <w:r w:rsidRPr="007B644D">
        <w:t>5.3.2. Hàm ý quản trị theo địa bàn</w:t>
      </w:r>
      <w:bookmarkEnd w:id="755"/>
      <w:bookmarkEnd w:id="756"/>
      <w:bookmarkEnd w:id="757"/>
      <w:bookmarkEnd w:id="758"/>
      <w:bookmarkEnd w:id="759"/>
    </w:p>
    <w:p w:rsidR="00764EB5" w:rsidRDefault="00DF13CC" w:rsidP="006575F3">
      <w:pPr>
        <w:spacing w:line="336" w:lineRule="auto"/>
        <w:rPr>
          <w:color w:val="auto"/>
        </w:rPr>
      </w:pPr>
      <w:r>
        <w:rPr>
          <w:color w:val="auto"/>
        </w:rPr>
        <w:t>Đối với TP. Hồ Chí Minh, thị trường đã trưởng thành hơn và mặt bằng giá cao; do đó trọng tâm cần đặt vào khả năng chi trả, minh bạch pháp lý, chất lượng vận hành và tái cấu trúc nguồn cung theo nhu cầu thực.</w:t>
      </w:r>
    </w:p>
    <w:p w:rsidR="00764EB5" w:rsidRDefault="00DF13CC" w:rsidP="006575F3">
      <w:pPr>
        <w:spacing w:line="336" w:lineRule="auto"/>
        <w:rPr>
          <w:color w:val="auto"/>
        </w:rPr>
      </w:pPr>
      <w:r>
        <w:rPr>
          <w:color w:val="auto"/>
        </w:rPr>
        <w:t>Đối với Đồng Nai, các sản phẩm căn hộ cần gắn chặt với tiến độ phát triển công nghiệp, logistics, giao thông và hình thành các trung tâm việc làm mới. Giá trị của căn hộ không nên được xây dựng chủ yếu trên kỳ vọng hạ tầng tương lai mà phải dựa trên mức độ kết nối thực tế.</w:t>
      </w:r>
    </w:p>
    <w:p w:rsidR="00764EB5" w:rsidRDefault="00DF13CC" w:rsidP="006575F3">
      <w:pPr>
        <w:spacing w:line="336" w:lineRule="auto"/>
        <w:rPr>
          <w:color w:val="auto"/>
        </w:rPr>
      </w:pPr>
      <w:r>
        <w:rPr>
          <w:color w:val="auto"/>
        </w:rPr>
        <w:t>Đối với Tây Ninh, phát triển căn hộ cần theo nguyên tắc thận trọng, phù hợp tốc độ đô thị hóa và khả năng hấp thụ. Việc sao chép mô hình sản phẩm cao cấp của TP. Hồ Chí Minh vào một thị trường chưa hình thành cầu tương ứng có thể làm gia tăng mất cân đối.</w:t>
      </w:r>
    </w:p>
    <w:p w:rsidR="00764EB5" w:rsidRDefault="00DF13CC" w:rsidP="006575F3">
      <w:pPr>
        <w:spacing w:line="336" w:lineRule="auto"/>
        <w:rPr>
          <w:color w:val="auto"/>
        </w:rPr>
      </w:pPr>
      <w:r>
        <w:rPr>
          <w:color w:val="auto"/>
        </w:rPr>
        <w:t>Những nhận định địa bàn này là hàm ý theo bối cảnh, không phải kết quả của kiểm định đa nhóm; do đó cần được sử dụng theo hướng định hướng quản trị.</w:t>
      </w:r>
    </w:p>
    <w:p w:rsidR="00764EB5" w:rsidRPr="007B644D" w:rsidRDefault="00DF13CC" w:rsidP="006575F3">
      <w:pPr>
        <w:pStyle w:val="Heading3"/>
        <w:spacing w:line="336" w:lineRule="auto"/>
      </w:pPr>
      <w:bookmarkStart w:id="760" w:name="_Toc241062523"/>
      <w:bookmarkStart w:id="761" w:name="_Toc241064464"/>
      <w:bookmarkStart w:id="762" w:name="_Toc241065397"/>
      <w:bookmarkStart w:id="763" w:name="_Toc241065615"/>
      <w:r w:rsidRPr="007B644D">
        <w:t>5.3.3. Hàm ý chính sách</w:t>
      </w:r>
      <w:bookmarkEnd w:id="760"/>
      <w:bookmarkEnd w:id="761"/>
      <w:bookmarkEnd w:id="762"/>
      <w:bookmarkEnd w:id="763"/>
      <w:r w:rsidRPr="007B644D">
        <w:t xml:space="preserve"> </w:t>
      </w:r>
    </w:p>
    <w:p w:rsidR="00764EB5" w:rsidRDefault="00DF13CC" w:rsidP="006575F3">
      <w:pPr>
        <w:spacing w:line="336" w:lineRule="auto"/>
        <w:rPr>
          <w:color w:val="auto"/>
        </w:rPr>
      </w:pPr>
      <w:r>
        <w:rPr>
          <w:color w:val="auto"/>
        </w:rPr>
        <w:t>Ở cấp độ quản lý nhà nước, kết quả nghiên cứu gợi mở bốn nhóm chính sách có mối liên hệ trực tiếp với cơ chế hành vi của người mua.</w:t>
      </w:r>
    </w:p>
    <w:p w:rsidR="00764EB5" w:rsidRDefault="00DF13CC" w:rsidP="006575F3">
      <w:pPr>
        <w:spacing w:line="336" w:lineRule="auto"/>
        <w:rPr>
          <w:color w:val="auto"/>
        </w:rPr>
      </w:pPr>
      <w:r>
        <w:rPr>
          <w:b/>
          <w:bCs/>
          <w:i/>
          <w:iCs/>
          <w:color w:val="auto"/>
        </w:rPr>
        <w:t>Thứ nhất,</w:t>
      </w:r>
      <w:r>
        <w:rPr>
          <w:color w:val="auto"/>
        </w:rPr>
        <w:t xml:space="preserve"> cần nâng cao minh bạch thông tin thị trường và dự án. Cơ sở dữ liệu về pháp lý, tiến độ, nghĩa vụ tài chính, thế chấp, điều kiện đưa bất động sản vào </w:t>
      </w:r>
      <w:r>
        <w:rPr>
          <w:color w:val="auto"/>
        </w:rPr>
        <w:lastRenderedPageBreak/>
        <w:t>kinh doanh và lịch sử thực hiện của chủ đầu tư cần dễ tiếp cận hơn. Điều này không chỉ bảo vệ người mua mà còn làm giảm bất cân xứng thông tin và hỗ trợ GTCN.</w:t>
      </w:r>
    </w:p>
    <w:p w:rsidR="00764EB5" w:rsidRPr="006575F3" w:rsidRDefault="00DF13CC" w:rsidP="006575F3">
      <w:pPr>
        <w:spacing w:line="336" w:lineRule="auto"/>
        <w:rPr>
          <w:color w:val="auto"/>
          <w:spacing w:val="-6"/>
        </w:rPr>
      </w:pPr>
      <w:r w:rsidRPr="006575F3">
        <w:rPr>
          <w:b/>
          <w:bCs/>
          <w:i/>
          <w:iCs/>
          <w:color w:val="auto"/>
          <w:spacing w:val="-6"/>
        </w:rPr>
        <w:t>Thứ hai,</w:t>
      </w:r>
      <w:r w:rsidRPr="006575F3">
        <w:rPr>
          <w:color w:val="auto"/>
          <w:spacing w:val="-6"/>
        </w:rPr>
        <w:t xml:space="preserve"> cần theo dõi cơ cấu nguồn cung theo khả năng chi trả thay vì chỉ theo số lượng dự án. Khi căn hộ giá thấp gần như biến mất ở các thị trường lớn [27], việc gia tăng tổng cung nhưng chủ yếu ở phân khúc cao không giải quyết được vấn đề tiếp cận nhà ở.</w:t>
      </w:r>
    </w:p>
    <w:p w:rsidR="00764EB5" w:rsidRDefault="00DF13CC" w:rsidP="006575F3">
      <w:pPr>
        <w:spacing w:line="336" w:lineRule="auto"/>
        <w:rPr>
          <w:color w:val="auto"/>
        </w:rPr>
      </w:pPr>
      <w:r>
        <w:rPr>
          <w:b/>
          <w:bCs/>
          <w:i/>
          <w:iCs/>
          <w:color w:val="auto"/>
        </w:rPr>
        <w:t xml:space="preserve">Thứ ba, </w:t>
      </w:r>
      <w:r>
        <w:rPr>
          <w:color w:val="auto"/>
        </w:rPr>
        <w:t>chính sách tín dụng cần cân bằng giữa khả năng tiếp cận và an toàn tài chính. Tín dụng nhà ở có thể nâng NTHV, nhưng việc khuyến khích vay vượt khả năng trả nợ có thể chuyển rủi ro của thị trường thành rủi ro của hộ gia đình.</w:t>
      </w:r>
    </w:p>
    <w:p w:rsidR="00764EB5" w:rsidRDefault="00DF13CC" w:rsidP="006575F3">
      <w:pPr>
        <w:spacing w:line="336" w:lineRule="auto"/>
        <w:rPr>
          <w:color w:val="auto"/>
        </w:rPr>
      </w:pPr>
      <w:r>
        <w:rPr>
          <w:b/>
          <w:bCs/>
          <w:i/>
          <w:iCs/>
          <w:color w:val="auto"/>
        </w:rPr>
        <w:t xml:space="preserve">Thứ tư, </w:t>
      </w:r>
      <w:r>
        <w:rPr>
          <w:color w:val="auto"/>
        </w:rPr>
        <w:t>quy hoạch nhà ở cần gắn với hạ tầng, việc làm và dịch vụ xã hội. Đây là điều kiện để những khu vực ngoài trung tâm tạo ra GTCN thực sự, thay vì chỉ tăng giá đất do kỳ vọng quy hoạch.</w:t>
      </w:r>
    </w:p>
    <w:p w:rsidR="00764EB5" w:rsidRDefault="00DF13CC" w:rsidP="006575F3">
      <w:pPr>
        <w:pStyle w:val="Heading1"/>
        <w:ind w:firstLine="0"/>
        <w:rPr>
          <w:rFonts w:ascii="Times New Roman" w:hAnsi="Times New Roman"/>
          <w:color w:val="auto"/>
          <w:sz w:val="26"/>
        </w:rPr>
      </w:pPr>
      <w:bookmarkStart w:id="764" w:name="_Toc241062524"/>
      <w:bookmarkStart w:id="765" w:name="_Toc241064465"/>
      <w:bookmarkStart w:id="766" w:name="_Toc241065398"/>
      <w:bookmarkStart w:id="767" w:name="_Toc241065616"/>
      <w:r>
        <w:rPr>
          <w:rFonts w:ascii="Times New Roman" w:hAnsi="Times New Roman"/>
          <w:color w:val="auto"/>
          <w:sz w:val="26"/>
        </w:rPr>
        <w:t>TÓM TẮT CHƯƠNG 5</w:t>
      </w:r>
      <w:bookmarkEnd w:id="764"/>
      <w:bookmarkEnd w:id="765"/>
      <w:bookmarkEnd w:id="766"/>
      <w:bookmarkEnd w:id="767"/>
    </w:p>
    <w:p w:rsidR="00764EB5" w:rsidRDefault="00764EB5" w:rsidP="003D6B28">
      <w:pPr>
        <w:pStyle w:val="Heading1"/>
        <w:rPr>
          <w:rFonts w:ascii="Times New Roman" w:hAnsi="Times New Roman"/>
          <w:color w:val="auto"/>
          <w:sz w:val="26"/>
        </w:rPr>
      </w:pPr>
    </w:p>
    <w:p w:rsidR="00764EB5" w:rsidRPr="007B644D" w:rsidRDefault="003D5693" w:rsidP="007B644D">
      <w:pPr>
        <w:pStyle w:val="Heading2"/>
        <w:ind w:firstLine="567"/>
        <w:rPr>
          <w:b w:val="0"/>
          <w:spacing w:val="0"/>
        </w:rPr>
      </w:pPr>
      <w:bookmarkStart w:id="768" w:name="_Toc241062525"/>
      <w:bookmarkStart w:id="769" w:name="_Toc241064466"/>
      <w:bookmarkStart w:id="770" w:name="_Toc241065399"/>
      <w:bookmarkStart w:id="771" w:name="_Toc241065617"/>
      <w:r w:rsidRPr="007B644D">
        <w:rPr>
          <w:b w:val="0"/>
          <w:spacing w:val="0"/>
        </w:rPr>
        <w:t>Dựa trên kế</w:t>
      </w:r>
      <w:r w:rsidR="00DF13CC" w:rsidRPr="007B644D">
        <w:rPr>
          <w:b w:val="0"/>
          <w:spacing w:val="0"/>
        </w:rPr>
        <w:t xml:space="preserve">t quả phân tích yếu tố ảnh hưởng tới quyết định mua căn hộ  chung cư của khách </w:t>
      </w:r>
      <w:r w:rsidR="00A81323" w:rsidRPr="007B644D">
        <w:rPr>
          <w:b w:val="0"/>
          <w:spacing w:val="0"/>
        </w:rPr>
        <w:t>hàng vùng Đông Nam Bộ luận án đề xuất</w:t>
      </w:r>
      <w:r w:rsidR="00DF13CC" w:rsidRPr="007B644D">
        <w:rPr>
          <w:b w:val="0"/>
          <w:spacing w:val="0"/>
        </w:rPr>
        <w:t xml:space="preserve"> các khu</w:t>
      </w:r>
      <w:r w:rsidR="00A81323" w:rsidRPr="007B644D">
        <w:rPr>
          <w:b w:val="0"/>
          <w:spacing w:val="0"/>
        </w:rPr>
        <w:t>y</w:t>
      </w:r>
      <w:r w:rsidR="00DF13CC" w:rsidRPr="007B644D">
        <w:rPr>
          <w:b w:val="0"/>
          <w:spacing w:val="0"/>
        </w:rPr>
        <w:t>ến nghị hàm ý quản trị liên quan thị trường căn hộ chung cư gồm:</w:t>
      </w:r>
      <w:bookmarkEnd w:id="768"/>
      <w:bookmarkEnd w:id="769"/>
      <w:bookmarkEnd w:id="770"/>
      <w:bookmarkEnd w:id="771"/>
      <w:r w:rsidR="00DF13CC" w:rsidRPr="007B644D">
        <w:rPr>
          <w:b w:val="0"/>
          <w:spacing w:val="0"/>
        </w:rPr>
        <w:t xml:space="preserve"> </w:t>
      </w:r>
    </w:p>
    <w:p w:rsidR="00764EB5" w:rsidRPr="007B644D" w:rsidRDefault="00DF13CC" w:rsidP="007B644D">
      <w:pPr>
        <w:pStyle w:val="Heading2"/>
        <w:ind w:firstLine="567"/>
        <w:rPr>
          <w:b w:val="0"/>
          <w:spacing w:val="0"/>
        </w:rPr>
      </w:pPr>
      <w:r w:rsidRPr="007B644D">
        <w:rPr>
          <w:b w:val="0"/>
          <w:spacing w:val="0"/>
        </w:rPr>
        <w:t xml:space="preserve"> </w:t>
      </w:r>
      <w:bookmarkStart w:id="772" w:name="_Toc241062526"/>
      <w:bookmarkStart w:id="773" w:name="_Toc241064467"/>
      <w:bookmarkStart w:id="774" w:name="_Toc241065400"/>
      <w:bookmarkStart w:id="775" w:name="_Toc241065618"/>
      <w:r w:rsidRPr="007B644D">
        <w:rPr>
          <w:b w:val="0"/>
          <w:spacing w:val="0"/>
        </w:rPr>
        <w:t>Xác lập được xu hướng và triển vọng thị trường căn hộ chung cư  tại vùng Đông Nam Bộ:  với 2 nội dung là xác lập xu hướng phát triển thị  trường chung cư và th</w:t>
      </w:r>
      <w:r w:rsidR="00A81323" w:rsidRPr="007B644D">
        <w:rPr>
          <w:b w:val="0"/>
          <w:spacing w:val="0"/>
        </w:rPr>
        <w:t>iết</w:t>
      </w:r>
      <w:r w:rsidRPr="007B644D">
        <w:rPr>
          <w:b w:val="0"/>
          <w:spacing w:val="0"/>
        </w:rPr>
        <w:t xml:space="preserve"> kế ba kịch bản phát triển thị trường đến năm 2035</w:t>
      </w:r>
      <w:bookmarkEnd w:id="772"/>
      <w:bookmarkEnd w:id="773"/>
      <w:bookmarkEnd w:id="774"/>
      <w:bookmarkEnd w:id="775"/>
    </w:p>
    <w:p w:rsidR="00764EB5" w:rsidRPr="007B644D" w:rsidRDefault="00DF13CC" w:rsidP="007B644D">
      <w:pPr>
        <w:pStyle w:val="Heading2"/>
        <w:ind w:firstLine="567"/>
        <w:rPr>
          <w:b w:val="0"/>
          <w:spacing w:val="0"/>
        </w:rPr>
      </w:pPr>
      <w:bookmarkStart w:id="776" w:name="_Toc241062527"/>
      <w:bookmarkStart w:id="777" w:name="_Toc241064468"/>
      <w:bookmarkStart w:id="778" w:name="_Toc241065401"/>
      <w:bookmarkStart w:id="779" w:name="_Toc241065619"/>
      <w:r w:rsidRPr="007B644D">
        <w:rPr>
          <w:b w:val="0"/>
          <w:spacing w:val="0"/>
        </w:rPr>
        <w:t>Khai thác các kết quả của luận án để giải thích cho thực tiễn với các n</w:t>
      </w:r>
      <w:r w:rsidR="00A81323" w:rsidRPr="007B644D">
        <w:rPr>
          <w:b w:val="0"/>
          <w:spacing w:val="0"/>
        </w:rPr>
        <w:t>ộ</w:t>
      </w:r>
      <w:r w:rsidRPr="007B644D">
        <w:rPr>
          <w:b w:val="0"/>
          <w:spacing w:val="0"/>
        </w:rPr>
        <w:t>i dung khai thác  kết quả nghiên cứu li</w:t>
      </w:r>
      <w:r w:rsidR="003D5693" w:rsidRPr="007B644D">
        <w:rPr>
          <w:b w:val="0"/>
          <w:spacing w:val="0"/>
        </w:rPr>
        <w:t>ê</w:t>
      </w:r>
      <w:r w:rsidRPr="007B644D">
        <w:rPr>
          <w:b w:val="0"/>
          <w:spacing w:val="0"/>
        </w:rPr>
        <w:t>n quan khoảng trống nghiên cứu, khai thác kết quả nghiên cứu để giải thích  sự đồng thời tồn tại của cơ chế tâm lý, xã hội và kinh</w:t>
      </w:r>
      <w:r w:rsidR="003D5693" w:rsidRPr="007B644D">
        <w:rPr>
          <w:b w:val="0"/>
          <w:spacing w:val="0"/>
        </w:rPr>
        <w:t xml:space="preserve"> tế trong Ý định mua, sử dụng kế</w:t>
      </w:r>
      <w:r w:rsidRPr="007B644D">
        <w:rPr>
          <w:b w:val="0"/>
          <w:spacing w:val="0"/>
        </w:rPr>
        <w:t>t quả nghiên cứu để giả</w:t>
      </w:r>
      <w:r w:rsidR="003D5693" w:rsidRPr="007B644D">
        <w:rPr>
          <w:b w:val="0"/>
          <w:spacing w:val="0"/>
        </w:rPr>
        <w:t xml:space="preserve">i </w:t>
      </w:r>
      <w:r w:rsidRPr="007B644D">
        <w:rPr>
          <w:b w:val="0"/>
          <w:spacing w:val="0"/>
        </w:rPr>
        <w:t xml:space="preserve"> thích quan hệ  Ý định mua và khoảng cách ý định – hành động, sử dụng kết quả nghi</w:t>
      </w:r>
      <w:r w:rsidR="003D5693" w:rsidRPr="007B644D">
        <w:rPr>
          <w:b w:val="0"/>
          <w:spacing w:val="0"/>
        </w:rPr>
        <w:t>ê</w:t>
      </w:r>
      <w:r w:rsidRPr="007B644D">
        <w:rPr>
          <w:b w:val="0"/>
          <w:spacing w:val="0"/>
        </w:rPr>
        <w:t>n cứu đ</w:t>
      </w:r>
      <w:r w:rsidR="003D5693" w:rsidRPr="007B644D">
        <w:rPr>
          <w:b w:val="0"/>
          <w:spacing w:val="0"/>
        </w:rPr>
        <w:t>ể</w:t>
      </w:r>
      <w:r w:rsidRPr="007B644D">
        <w:rPr>
          <w:b w:val="0"/>
          <w:spacing w:val="0"/>
        </w:rPr>
        <w:t xml:space="preserve"> giải thích  Ý nghĩ</w:t>
      </w:r>
      <w:r w:rsidR="00441DFE" w:rsidRPr="007B644D">
        <w:rPr>
          <w:b w:val="0"/>
          <w:spacing w:val="0"/>
        </w:rPr>
        <w:t>a của các tác động gián tiếp đến quyết định</w:t>
      </w:r>
      <w:r w:rsidRPr="007B644D">
        <w:rPr>
          <w:b w:val="0"/>
          <w:spacing w:val="0"/>
        </w:rPr>
        <w:t xml:space="preserve"> mua căn hộ chung cư vùng Đông Nam Bộ</w:t>
      </w:r>
      <w:bookmarkEnd w:id="776"/>
      <w:bookmarkEnd w:id="777"/>
      <w:bookmarkEnd w:id="778"/>
      <w:bookmarkEnd w:id="779"/>
    </w:p>
    <w:p w:rsidR="00764EB5" w:rsidRPr="007B644D" w:rsidRDefault="00DF13CC" w:rsidP="007B644D">
      <w:pPr>
        <w:pStyle w:val="Heading2"/>
        <w:ind w:firstLine="567"/>
        <w:rPr>
          <w:b w:val="0"/>
          <w:spacing w:val="0"/>
        </w:rPr>
      </w:pPr>
      <w:bookmarkStart w:id="780" w:name="_Toc241062528"/>
      <w:bookmarkStart w:id="781" w:name="_Toc241064469"/>
      <w:bookmarkStart w:id="782" w:name="_Toc241065402"/>
      <w:bookmarkStart w:id="783" w:name="_Toc241065620"/>
      <w:r w:rsidRPr="007B644D">
        <w:rPr>
          <w:b w:val="0"/>
          <w:spacing w:val="0"/>
        </w:rPr>
        <w:t>Khai thác các kết quả  phân tích yếu tố ảnh hưởng cho quản trị các yếu tố, quản trị theo địa bàn và vấn đ</w:t>
      </w:r>
      <w:r w:rsidR="003D5693" w:rsidRPr="007B644D">
        <w:rPr>
          <w:b w:val="0"/>
          <w:spacing w:val="0"/>
        </w:rPr>
        <w:t>ề</w:t>
      </w:r>
      <w:r w:rsidRPr="007B644D">
        <w:rPr>
          <w:b w:val="0"/>
          <w:spacing w:val="0"/>
        </w:rPr>
        <w:t xml:space="preserve"> chính sách</w:t>
      </w:r>
      <w:bookmarkEnd w:id="780"/>
      <w:bookmarkEnd w:id="781"/>
      <w:bookmarkEnd w:id="782"/>
      <w:bookmarkEnd w:id="783"/>
    </w:p>
    <w:p w:rsidR="00764EB5" w:rsidRDefault="00764EB5" w:rsidP="003D6B28">
      <w:pPr>
        <w:ind w:firstLine="0"/>
        <w:rPr>
          <w:b/>
          <w:i/>
        </w:rPr>
      </w:pPr>
    </w:p>
    <w:p w:rsidR="00764EB5" w:rsidRDefault="00764EB5" w:rsidP="007B644D">
      <w:pPr>
        <w:pStyle w:val="Heading2"/>
      </w:pPr>
    </w:p>
    <w:p w:rsidR="00764EB5" w:rsidRDefault="00764EB5" w:rsidP="003D6B28"/>
    <w:p w:rsidR="00764EB5" w:rsidRDefault="00764EB5" w:rsidP="003D6B28"/>
    <w:p w:rsidR="00764EB5" w:rsidRDefault="00764EB5" w:rsidP="003D6B28">
      <w:pPr>
        <w:pStyle w:val="Heading1"/>
        <w:rPr>
          <w:rFonts w:ascii="Times New Roman" w:hAnsi="Times New Roman"/>
          <w:color w:val="auto"/>
          <w:sz w:val="26"/>
        </w:rPr>
      </w:pPr>
    </w:p>
    <w:p w:rsidR="00383EF8" w:rsidRDefault="00383EF8">
      <w:pPr>
        <w:suppressAutoHyphens w:val="0"/>
        <w:spacing w:line="240" w:lineRule="auto"/>
        <w:ind w:firstLine="0"/>
        <w:jc w:val="left"/>
        <w:rPr>
          <w:b/>
          <w:caps/>
          <w:color w:val="auto"/>
        </w:rPr>
      </w:pPr>
      <w:r>
        <w:rPr>
          <w:color w:val="auto"/>
        </w:rPr>
        <w:br w:type="page"/>
      </w:r>
    </w:p>
    <w:p w:rsidR="00764EB5" w:rsidRDefault="00DF13CC" w:rsidP="003D6B28">
      <w:pPr>
        <w:pStyle w:val="Heading1"/>
        <w:rPr>
          <w:rFonts w:ascii="Times New Roman" w:hAnsi="Times New Roman"/>
          <w:color w:val="auto"/>
          <w:sz w:val="26"/>
        </w:rPr>
      </w:pPr>
      <w:bookmarkStart w:id="784" w:name="_Toc241062529"/>
      <w:bookmarkStart w:id="785" w:name="_Toc241064470"/>
      <w:bookmarkStart w:id="786" w:name="_Toc241065403"/>
      <w:bookmarkStart w:id="787" w:name="_Toc241065621"/>
      <w:r>
        <w:rPr>
          <w:rFonts w:ascii="Times New Roman" w:hAnsi="Times New Roman"/>
          <w:color w:val="auto"/>
          <w:sz w:val="26"/>
        </w:rPr>
        <w:lastRenderedPageBreak/>
        <w:t>KẾT LUẬN</w:t>
      </w:r>
      <w:bookmarkEnd w:id="784"/>
      <w:bookmarkEnd w:id="785"/>
      <w:bookmarkEnd w:id="786"/>
      <w:bookmarkEnd w:id="787"/>
      <w:r>
        <w:rPr>
          <w:rFonts w:ascii="Times New Roman" w:hAnsi="Times New Roman"/>
          <w:color w:val="auto"/>
          <w:sz w:val="26"/>
        </w:rPr>
        <w:t xml:space="preserve"> </w:t>
      </w:r>
    </w:p>
    <w:p w:rsidR="006575F3" w:rsidRPr="006575F3" w:rsidRDefault="006575F3" w:rsidP="006575F3">
      <w:pPr>
        <w:rPr>
          <w:sz w:val="4"/>
        </w:rPr>
      </w:pPr>
    </w:p>
    <w:p w:rsidR="00764EB5" w:rsidRDefault="00DF13CC" w:rsidP="003D6B28">
      <w:pPr>
        <w:rPr>
          <w:color w:val="auto"/>
        </w:rPr>
      </w:pPr>
      <w:r>
        <w:rPr>
          <w:color w:val="auto"/>
        </w:rPr>
        <w:t>Luận án đã tổng quát hóa và làm rõ các nền tảng lý thuyết liên quan đến hành vi người tiêu dùng và quyết định mua căn hộ chung cư, trong đó trọng tâm là Lý thuyết hành vi có kế hoạch (TPB) của Ajzen. Trên cơ sở kế thừa TPB và các lý thuyết bổ trợ, luận án xác định rằng ý định mua căn hộ chung cư chịu tác động của thái độ, chuẩn chủ quan, nhận thức kiểm soát hành vi và giá trị cảm nhận căn hộ. Các yếu tố như pháp lý dự án, uy tín chủ đầu tư, vị trí và phong thủy được luận giải như các thành phần góp phần hình thành giá trị cảm nhận hoặc thái độ của người mua. Thông qua tổng hợp các nghiên cứu trước đây, chương này phân tích cơ sở hình thành bốn nhóm yếu tố trong mô hình: Thái độ đối với căn hộ, Chuẩn chủ quan, Nhận thức kiểm soát hành vi và Giá trị cảm nhận căn hộ. Các yếu tố này được xem xét trong mối quan hệ với Ý định mua, từ đó tác động đến mức độ sẵn sàng ra quyết định mua căn hộ chung cư.Trên cơ sở lý luận và thực tiễn, luận án đề xuất mô hình nghiên cứu phù hợp với phạm vi dữ liệu hiện có. Mô hình kế thừa nền tảng TPB và mở rộng bằng biến Giá trị cảm nhận căn hộ, qua đó góp phần giải thích ý định mua và mức độ sẵn sàng ra quyết định mua căn hộ chung cư tại vùng Đông Nam Bộ.</w:t>
      </w:r>
    </w:p>
    <w:p w:rsidR="00764EB5" w:rsidRDefault="00DF13CC" w:rsidP="00383EF8">
      <w:pPr>
        <w:spacing w:line="348" w:lineRule="auto"/>
        <w:rPr>
          <w:color w:val="auto"/>
        </w:rPr>
      </w:pPr>
      <w:r>
        <w:rPr>
          <w:color w:val="auto"/>
        </w:rPr>
        <w:t>Li</w:t>
      </w:r>
      <w:r w:rsidR="003D5693">
        <w:rPr>
          <w:color w:val="auto"/>
        </w:rPr>
        <w:t>ê</w:t>
      </w:r>
      <w:r>
        <w:rPr>
          <w:color w:val="auto"/>
        </w:rPr>
        <w:t xml:space="preserve">n quan phương pháp nghien cứu đã trình bày về dịa bàn và các nội dung càn có trong nghiên cứu từ thiết kế và quy trình nghiên cứu được sử dụng để kiểm định mô hình các yếu tố ảnh hưởng đến Ý định mua và mức độ sẵn sàng ra quyết định mua căn hộ chung cư tại vùng Đông Nam Bộ. Trên cơ sở đặc điểm của thị trường và mục tiêu nghiên cứu, luận án sử dụng thiết kế nghiên cứu hỗn hợp theo hướng định tính hỗ trợ định lượng. Giai đoạn định tính được sử dụng để rà soát nội hàm khái niệm, kiểm tra tính phù hợp của các biến quan sát và hiệu chỉnh thang đo theo bối cảnh nghiên cứu; giai đoạn định lượng được sử dụng để kiểm định mô hình và các giả thuyết nghiên cứu.Các thang đo được kế thừa có chọn lọc từ các nghiên cứu trước, kết hợp với kết quả nghiên cứu định tính để hình thành bảng hỏi chính thức. Mô hình gồm sáu cấu trúc: Thái độ (TD), Chuẩn chủ quan (CCQ), Nhận thức kiểm soát hành vi (NTHV), Giá trị cảm nhận căn hộ (GTCN), Ý định mua (YDM) và mức độ sẵn sàng ra quyết định mua (QDM). Trong đó, YDM phản ánh dự định và kế hoạch mua, còn QDM phản ánh trạng thái gần hành động hơn, thể hiện mức </w:t>
      </w:r>
      <w:r>
        <w:rPr>
          <w:color w:val="auto"/>
        </w:rPr>
        <w:lastRenderedPageBreak/>
        <w:t>độ sẵn sàng lựa chọn, thực hiện thủ tục và tiến tới giao dịch; QDM không được đồng nhất với hành vi mua đã hoàn tất.Nghiên cứu sử dụng phương pháp chọn mẫu phi xác suất theo hướng thuận tiện kết hợp lan truyền và thu được 361 quan sát hợp lệ. Việc xác định cỡ mẫu được đặt trong yêu cầu của phân tích PLS-SEM; đồng thời, luận án giới hạn phạm vi suy luận phù hợp với đặc điểm của mẫu nghiên cứu. Dữ liệu được xử lý bằng SPSS cho các phân tích mô tả và kiểm tra sơ bộ, trong khi SmartPLS được sử dụng để đánh giá mô hình đo lường và mô hình cấu trúc. Các tiêu chí phân tích bao gồm độ tin cậy thang đo, hệ số tải ngoài, giá trị hội tụ, giá trị phân biệt, VIF, hệ số đường dẫn, R², f², Q² và các tác động gián tiếp.Như vậy, Chương 3 đã xây dựng cơ sở phương pháp cần thiết để chuyển từ mô hình lý thuyết và các giả thuyết được hình thành ở Chương 2 sang kiểm định bằng dữ liệu thực nghiệm. Trên cơ sở quy trình và tiêu chí phân tích đã xác lập, Chương 4 tiếp tục trình bày kết quả đánh giá mô hình đo lường, mô hình cấu trúc, kiểm định giả thuyết và thảo luận các phát hiện của nghiên cứu.</w:t>
      </w:r>
    </w:p>
    <w:p w:rsidR="00764EB5" w:rsidRDefault="00DF13CC" w:rsidP="00383EF8">
      <w:pPr>
        <w:spacing w:line="348" w:lineRule="auto"/>
        <w:rPr>
          <w:color w:val="auto"/>
        </w:rPr>
      </w:pPr>
      <w:r>
        <w:t xml:space="preserve">Thông qua đánh giá mô hình đo lường và mô hình cấu trúc trên cơ sở 361 quan sát hợp lệ. Kết quả cho thấy các thang đo đáp ứng các tiêu chí về độ tin cậy, giá trị hội tụ và giá trị phân biệt; các giá trị VIF không cho thấy vấn đề đa cộng tuyến đáng kể.Kết quả mô hình cấu trúc cho thấy TD, CCQ, NTHV và GTCN đều có quan hệ dương và có ý nghĩa thống kê với YDM. GTCN có β = 0,303 và CCQ = 0,300, gần như tương đương về hệ số đường dẫn; khi xét f², CCQ = 0,154 cao hơn GTCN = 0,135. Vì vậy, không có căn cứ để khẳng định GTCN là yếu tố mạnh nhất theo mọi tiêu chí. TD có β = 0,271 và NTHV = 0,150, trong đó NTHV có mức đóng góp riêng nhỏ hơn nhưng vẫn có ý nghĩa thống kê.Bốn biến tiền đề giải thích 45,7% sự biến thiên của YDM. Kết quả này cho thấy mô hình có năng lực giải thích đáng kể đối với Ý định mua, đồng thời cho thấy YDM vẫn chịu ảnh hưởng bởi các nhân tố khác chưa được đưa vào cấu trúc nghiên cứu.YDM có tác động mạnh đến QDM với β = 0,586 và f² = 0,523, nhưng chỉ giải thích 34,4% sự biến thiên của QDM. Kết quả này cho thấy khoảng cách giữa Ý định mua và mức độ sẵn sàng ra quyết định vẫn tồn tại và có thể chịu ảnh hưởng của nhiều điều kiện thực tế ngoài mô hình.Các tác động gián tiếp từ TD, CCQ, NTHV và GTCN đến QDM thông qua YDM đều có ý nghĩa thống kê, qua đó xác nhận YDM là một cơ chế truyền dẫn quan trọng trong </w:t>
      </w:r>
      <w:r>
        <w:lastRenderedPageBreak/>
        <w:t>cấu trúc đã kiểm định. Tuy nhiên, do mô hình chưa ước lượng đầy đủ các đường trực tiếp đến QDM, luận án không phân loại YDM thành trung gian toàn phần hoặc trung gian một phần.Tổng hợp các kết quả cho thấy hành vi mua căn hộ trong mẫu nghiên cứu không thể được giải thích bằng duy nhất thuộc tính sản phẩm, điều kiện tài chính hoặc yếu tố tâm lý. Ý định được hình thành từ sự tương tác giữa đánh giá đối với hành vi, ảnh hưởng xã hội, cảm nhận khả năng thực hiện và giá trị tổng thể của căn hộ; sau đó Ý định mua trở thành tiền đề gần quan trọng của mức độ sẵn sàng ra quyết định.Đây là cơ sở thực nghiệm để Chương 5 tiếp tục phát triển các kết luận, hàm ý quản trị và kiến nghị chính sách theo một logic thống nhất từ nâng cao giá trị sản phẩm, củng cố thái độ và sự đồng thuận xã hội, giảm rào cản thực hiện đến quản trị quá trình chuyển đổi từ Ý định mua sang mức độ sẵn sàng giao dịch.</w:t>
      </w:r>
      <w:r>
        <w:rPr>
          <w:color w:val="auto"/>
        </w:rPr>
        <w:t xml:space="preserve"> Kết quả cho thấy các giả thuyết đều được chấp nhận. GTCN và CCQ có hệ số đường dẫn gần tương đương đối với YDM; xét theo f², CCQ có mức đóng góp cao hơn GTCN. TD và NTHV cũng có tác động dương, có ý nghĩa. YDM là biến dự báo mạnh QDM, trong đó QDM được hiểu là mức độ sẵn sàng ra quyết định mua chứ không phải giao dịch đã hoàn tất.Các tác động gián tiếp thông qua YDM đều có ý nghĩa thống kê. Tuy nhiên, do mô hình không bao gồm đầy đủ các đường trực tiếp từ biến tiền đề đến QDM, luận án không phân loại cơ chế trung gian thành toàn phần hay một phần. Kết luận này bảo đảm phù hợp với cấu trúc mô hình và dữ liệu hiện có.</w:t>
      </w:r>
    </w:p>
    <w:p w:rsidR="00764EB5" w:rsidRDefault="00DF13CC" w:rsidP="003D6B28">
      <w:r>
        <w:t>Dựa trên k</w:t>
      </w:r>
      <w:r w:rsidR="003D5693">
        <w:t>ết quả phâ</w:t>
      </w:r>
      <w:r>
        <w:t xml:space="preserve">n tích yếu tố ảnh hưởng tới quyết định mua căn hộ  chung cư của khách hàng </w:t>
      </w:r>
      <w:r w:rsidR="00A81323">
        <w:t xml:space="preserve">vùng Đông Nam Bộ luận án đề xuất </w:t>
      </w:r>
      <w:r>
        <w:t>các khu</w:t>
      </w:r>
      <w:r w:rsidR="00A81323">
        <w:t>y</w:t>
      </w:r>
      <w:r>
        <w:t>ến nghị hàm ý quản trị liên quan thị trường căn hộ chung cư gồm:  Xác lập được xu hướng và triển vọng thị trường căn hộ chung cư  tại vùng Đông Nam Bộ:  với 2 nội dung là xác lập xu hướng phát triển thị  trường chung cư và th</w:t>
      </w:r>
      <w:r w:rsidR="00A81323">
        <w:t>iết</w:t>
      </w:r>
      <w:r>
        <w:t xml:space="preserve"> kế ba kịch bản phát triển thị trường đến năm 2035; Khai thác các kết quả của luận án để giải thích cho thực tiễn với các n</w:t>
      </w:r>
      <w:r w:rsidR="00A81323">
        <w:t>ộ</w:t>
      </w:r>
      <w:r>
        <w:t>i dung k</w:t>
      </w:r>
      <w:r w:rsidR="003D5693">
        <w:t>hai thác  kết quả nghiên cứu liê</w:t>
      </w:r>
      <w:r>
        <w:t>n quan khoảng trống nghiên cứu, khai thác kết quả nghiên cứu để giải thích  sự đồng thời tồn tại của cơ chế tâm lý, xã hội và kinh tế trong Ý định mua, sử dụng két quả nghiên cứu để giả</w:t>
      </w:r>
      <w:r w:rsidR="003D5693">
        <w:t>i</w:t>
      </w:r>
      <w:r>
        <w:t xml:space="preserve"> thích quan hệ  Ý định mua và khoảng cách ý định – hành động, sử dụng kết quả nghien cứu đẻ giải thích  Ý nghĩa của các tác động gián tiếp</w:t>
      </w:r>
      <w:r w:rsidR="00441DFE">
        <w:t xml:space="preserve"> </w:t>
      </w:r>
      <w:r>
        <w:t>đ</w:t>
      </w:r>
      <w:r w:rsidR="00441DFE">
        <w:t>ế</w:t>
      </w:r>
      <w:r>
        <w:t xml:space="preserve">n </w:t>
      </w:r>
      <w:r w:rsidR="00441DFE">
        <w:t>quyết định</w:t>
      </w:r>
      <w:r>
        <w:t xml:space="preserve"> mua căn hộ chung cư vùng </w:t>
      </w:r>
      <w:r>
        <w:lastRenderedPageBreak/>
        <w:t>Đông Nam Bộ; Khai thác các kết quả  phân tích yếu tố ảnh hưởng cho quản trị các yếu tố, quản trị theo địa bàn và vấn đ</w:t>
      </w:r>
      <w:r w:rsidR="003D5693">
        <w:t>ề</w:t>
      </w:r>
      <w:r>
        <w:t xml:space="preserve"> chính sách</w:t>
      </w:r>
    </w:p>
    <w:p w:rsidR="00764EB5" w:rsidRDefault="00DF13CC" w:rsidP="003D6B28">
      <w:pPr>
        <w:pStyle w:val="Heading1"/>
        <w:rPr>
          <w:color w:val="auto"/>
        </w:rPr>
      </w:pPr>
      <w:bookmarkStart w:id="788" w:name="_Toc234224177"/>
      <w:bookmarkStart w:id="789" w:name="_Toc241062530"/>
      <w:bookmarkStart w:id="790" w:name="_Toc241064471"/>
      <w:bookmarkStart w:id="791" w:name="_Toc241065404"/>
      <w:bookmarkStart w:id="792" w:name="_Toc241065622"/>
      <w:r>
        <w:rPr>
          <w:rFonts w:ascii="Times New Roman" w:hAnsi="Times New Roman"/>
          <w:color w:val="auto"/>
        </w:rPr>
        <w:t>TÀI LIỆU THAM KHẢO</w:t>
      </w:r>
      <w:bookmarkEnd w:id="788"/>
      <w:bookmarkEnd w:id="789"/>
      <w:bookmarkEnd w:id="790"/>
      <w:bookmarkEnd w:id="791"/>
      <w:bookmarkEnd w:id="792"/>
    </w:p>
    <w:p w:rsidR="00764EB5" w:rsidRDefault="00DF13CC" w:rsidP="007B644D">
      <w:pPr>
        <w:pStyle w:val="Heading2"/>
      </w:pPr>
      <w:bookmarkStart w:id="793" w:name="_Toc227561146"/>
      <w:bookmarkStart w:id="794" w:name="_Toc238480699"/>
      <w:bookmarkStart w:id="795" w:name="_Toc234224178"/>
      <w:bookmarkStart w:id="796" w:name="_Toc241062531"/>
      <w:bookmarkStart w:id="797" w:name="_Toc241064472"/>
      <w:bookmarkStart w:id="798" w:name="_Toc241065405"/>
      <w:bookmarkStart w:id="799" w:name="_Toc241065623"/>
      <w:r>
        <w:t>Tài liệu tiếng Việt</w:t>
      </w:r>
      <w:bookmarkEnd w:id="793"/>
      <w:bookmarkEnd w:id="794"/>
      <w:bookmarkEnd w:id="795"/>
      <w:bookmarkEnd w:id="796"/>
      <w:bookmarkEnd w:id="797"/>
      <w:bookmarkEnd w:id="798"/>
      <w:bookmarkEnd w:id="799"/>
    </w:p>
    <w:p w:rsidR="00764EB5" w:rsidRDefault="00DF13CC" w:rsidP="003D6B28">
      <w:pPr>
        <w:ind w:firstLine="720"/>
        <w:rPr>
          <w:color w:val="auto"/>
        </w:rPr>
      </w:pPr>
      <w:r>
        <w:rPr>
          <w:color w:val="auto"/>
        </w:rPr>
        <w:t>Bộ Chính trị. (2022). Nghị quyết số 24-NQ/TW ngày 07/10/2022 về phát triển kinh tế - xã hội và bảo đảm quốc phòng, an ninh vùng Đông Nam Bộ đến năm 2030, tầm nhìn đến năm 2045.</w:t>
      </w:r>
    </w:p>
    <w:p w:rsidR="00764EB5" w:rsidRDefault="00DF13CC" w:rsidP="003D6B28">
      <w:pPr>
        <w:ind w:firstLine="720"/>
        <w:rPr>
          <w:color w:val="auto"/>
        </w:rPr>
      </w:pPr>
      <w:r>
        <w:rPr>
          <w:color w:val="auto"/>
        </w:rPr>
        <w:t>Bộ Kế hoạch và Đầu tư. (2024). Báo cáo tóm tắt Quy hoạch vùng Đông Nam Bộ thời kỳ 2021–2030, tầm nhìn đến năm 2050 (hoàn thiện theo Quyết định số 370/QĐ-TTg ngày 04/5/2024).</w:t>
      </w:r>
    </w:p>
    <w:p w:rsidR="00764EB5" w:rsidRDefault="00DF13CC" w:rsidP="003D6B28">
      <w:pPr>
        <w:ind w:firstLine="720"/>
        <w:rPr>
          <w:color w:val="auto"/>
        </w:rPr>
      </w:pPr>
      <w:r>
        <w:rPr>
          <w:color w:val="auto"/>
        </w:rPr>
        <w:t>Bộ Xây dựng. (2025). Thông cáo số 25/TC-BXD ngày 24/01/2025 về công bố thông tin về nhà ở và thị trường bất động sản quý IV năm 2024 và cả năm 2024.</w:t>
      </w:r>
    </w:p>
    <w:p w:rsidR="00764EB5" w:rsidRDefault="00DF13CC" w:rsidP="003D6B28">
      <w:pPr>
        <w:ind w:firstLine="720"/>
        <w:rPr>
          <w:color w:val="auto"/>
        </w:rPr>
      </w:pPr>
      <w:r>
        <w:rPr>
          <w:color w:val="auto"/>
        </w:rPr>
        <w:t>Bộ Xây dựng. (2026). Báo cáo công bố thông tin về nhà ở và thị trường bất động sản Quý II năm 2026, công bố ngày 21/08/2026.</w:t>
      </w:r>
    </w:p>
    <w:p w:rsidR="00764EB5" w:rsidRDefault="00DF13CC" w:rsidP="003D6B28">
      <w:pPr>
        <w:ind w:firstLine="720"/>
        <w:rPr>
          <w:color w:val="auto"/>
        </w:rPr>
      </w:pPr>
      <w:r>
        <w:rPr>
          <w:color w:val="auto"/>
        </w:rPr>
        <w:t>CBRE Việt Nam. (2026a). Cập nhật thị trường bất động sản TP.HCM Quý IV năm 2025. CBRE Research.</w:t>
      </w:r>
    </w:p>
    <w:p w:rsidR="00764EB5" w:rsidRDefault="00DF13CC" w:rsidP="003D6B28">
      <w:pPr>
        <w:ind w:firstLine="720"/>
        <w:rPr>
          <w:color w:val="auto"/>
        </w:rPr>
      </w:pPr>
      <w:r>
        <w:rPr>
          <w:color w:val="auto"/>
        </w:rPr>
        <w:t>CBRE Việt Nam. (2026b). Ho Chi Minh City Figures Q1 2026. CBRE Research, 18/05/2026.</w:t>
      </w:r>
    </w:p>
    <w:p w:rsidR="00764EB5" w:rsidRDefault="00DF13CC" w:rsidP="003D6B28">
      <w:pPr>
        <w:ind w:firstLine="426"/>
        <w:rPr>
          <w:color w:val="auto"/>
        </w:rPr>
      </w:pPr>
      <w:r>
        <w:rPr>
          <w:color w:val="auto"/>
        </w:rPr>
        <w:t>CBRE Việt Nam. (2026c). Cập nhật thị trường BĐS Hồ Chí Minh Quý 2 2026. CBRE Research, 12/08/2026.</w:t>
      </w:r>
    </w:p>
    <w:p w:rsidR="00764EB5" w:rsidRDefault="00DF13CC" w:rsidP="003D6B28">
      <w:pPr>
        <w:ind w:firstLine="426"/>
        <w:rPr>
          <w:color w:val="auto"/>
        </w:rPr>
      </w:pPr>
      <w:r>
        <w:rPr>
          <w:color w:val="auto"/>
        </w:rPr>
        <w:t>Đoàn Thị Thúy Hải, Nguyễn Thị Dương, &amp; Trần Thị Thu Vy. (2021). Các yếu tố ảnh hưởng đến quyết định mua căn hộ Monarchy của người dân thành phố Đà Nẵng. Tạp chí Công Thương, số 14 (tháng 6/2021).</w:t>
      </w:r>
    </w:p>
    <w:p w:rsidR="00764EB5" w:rsidRDefault="00DF13CC" w:rsidP="003D6B28">
      <w:pPr>
        <w:ind w:firstLine="426"/>
        <w:rPr>
          <w:color w:val="auto"/>
        </w:rPr>
      </w:pPr>
      <w:r>
        <w:rPr>
          <w:color w:val="auto"/>
        </w:rPr>
        <w:t xml:space="preserve"> Hoàng Trọng, &amp; Chu Nguyễn Mộng Ngọc. (2008). Phân tích dữ liệu nghiên cứu với SPSS. Nhà xuất bản Hồng Đức.</w:t>
      </w:r>
    </w:p>
    <w:p w:rsidR="00764EB5" w:rsidRDefault="00DF13CC" w:rsidP="003D6B28">
      <w:pPr>
        <w:ind w:firstLine="426"/>
        <w:rPr>
          <w:color w:val="auto"/>
        </w:rPr>
      </w:pPr>
      <w:r>
        <w:rPr>
          <w:color w:val="auto"/>
        </w:rPr>
        <w:t>Hoàng Văn Cường, &amp; Nguyễn Thị Tùng Phương. (2017). Ảnh hưởng của phong cách sống đến lựa chọn các tiêu chí căn hộ chung cư tại khu vực đô thị – Nghiên cứu tại thành phố Hà Nội. Tạp chí Kinh tế và Phát triển, 244, 66–75.</w:t>
      </w:r>
    </w:p>
    <w:p w:rsidR="00764EB5" w:rsidRDefault="00DF13CC" w:rsidP="003D6B28">
      <w:pPr>
        <w:ind w:firstLine="426"/>
        <w:rPr>
          <w:color w:val="auto"/>
        </w:rPr>
      </w:pPr>
      <w:r>
        <w:rPr>
          <w:color w:val="auto"/>
        </w:rPr>
        <w:t>Nguyễn Đình Thọ. (2011). Phương pháp nghiên cứu khoa học trong kinh doanh. Nhà xuất bản Lao động – Xã hội.</w:t>
      </w:r>
    </w:p>
    <w:p w:rsidR="00764EB5" w:rsidRDefault="00DF13CC" w:rsidP="00383EF8">
      <w:pPr>
        <w:spacing w:line="348" w:lineRule="auto"/>
        <w:ind w:firstLine="425"/>
        <w:rPr>
          <w:color w:val="auto"/>
        </w:rPr>
      </w:pPr>
      <w:r>
        <w:rPr>
          <w:color w:val="auto"/>
        </w:rPr>
        <w:lastRenderedPageBreak/>
        <w:t>Nguyễn Đình Thọ, &amp; Nguyễn Thị Mai Trang. (2009). Nghiên cứu khoa học marketing: Ứng dụng mô hình cấu trúc tuyến tính SEM. Nhà xuất bản Đại học Quốc gia TP.HCM.</w:t>
      </w:r>
    </w:p>
    <w:p w:rsidR="00764EB5" w:rsidRDefault="00DF13CC" w:rsidP="00383EF8">
      <w:pPr>
        <w:spacing w:line="348" w:lineRule="auto"/>
        <w:ind w:firstLine="425"/>
        <w:rPr>
          <w:color w:val="auto"/>
        </w:rPr>
      </w:pPr>
      <w:r>
        <w:rPr>
          <w:color w:val="auto"/>
        </w:rPr>
        <w:t>Nguyễn Hữu Cường. (2020). Các nhân tố ảnh hưởng đến giá bán căn hộ chung cư cao cấp – Nghiên cứu trên địa bàn Hà Nội [Luận án tiến sĩ, Trường Đại học Kinh tế Quốc dân].</w:t>
      </w:r>
    </w:p>
    <w:p w:rsidR="00764EB5" w:rsidRDefault="00DF13CC" w:rsidP="00383EF8">
      <w:pPr>
        <w:spacing w:line="348" w:lineRule="auto"/>
        <w:ind w:firstLine="425"/>
        <w:rPr>
          <w:color w:val="auto"/>
        </w:rPr>
      </w:pPr>
      <w:r>
        <w:rPr>
          <w:color w:val="auto"/>
        </w:rPr>
        <w:t>Nguyễn Thị Tùng Phương. (2019). Lựa chọn căn hộ chung cư khu vực đô thị – Nghiên cứu trên địa bàn Thành phố Hà Nội [Luận án tiến sĩ, Trường Đại học Kinh tế Quốc dân].</w:t>
      </w:r>
    </w:p>
    <w:p w:rsidR="00764EB5" w:rsidRDefault="00DF13CC" w:rsidP="00383EF8">
      <w:pPr>
        <w:spacing w:line="348" w:lineRule="auto"/>
        <w:ind w:firstLine="425"/>
        <w:rPr>
          <w:color w:val="auto"/>
        </w:rPr>
      </w:pPr>
      <w:r>
        <w:rPr>
          <w:color w:val="auto"/>
        </w:rPr>
        <w:t>Phạm Đình Hân. (2023). Nghiên cứu các nhân tố ảnh hưởng đến ý định mua căn hộ chung cư thương mại của người tiêu dùng khu vực thành phố Hồ Chí Minh [Luận án tiến sĩ, Đại học Duy Tân].</w:t>
      </w:r>
    </w:p>
    <w:p w:rsidR="00764EB5" w:rsidRDefault="00DF13CC" w:rsidP="00383EF8">
      <w:pPr>
        <w:spacing w:line="348" w:lineRule="auto"/>
        <w:ind w:firstLine="425"/>
        <w:rPr>
          <w:color w:val="auto"/>
        </w:rPr>
      </w:pPr>
      <w:r w:rsidRPr="00383EF8">
        <w:rPr>
          <w:color w:val="auto"/>
          <w:spacing w:val="-4"/>
        </w:rPr>
        <w:t xml:space="preserve"> Phạm Đình Hân, Lê Thị Diệu Huyên, &amp; Vũ Quốc Quý. (2024). Áp dụng mở rộng lý thuyết hành vi có kế hoạch để dự đoán ý định mua căn hộ chung cư của người tiêu dùng. Tạp chí Khoa học Đại học Mở Thành phố Hồ Chí Minh – Kinh tế và Quản trị kinh doanh, 19(8),</w:t>
      </w:r>
      <w:r>
        <w:rPr>
          <w:color w:val="auto"/>
        </w:rPr>
        <w:t xml:space="preserve"> 94–111. https://doi.org/10.46223/HCMCOUJS.econ.vi.19.8.2986.2024</w:t>
      </w:r>
    </w:p>
    <w:p w:rsidR="00764EB5" w:rsidRDefault="00DF13CC" w:rsidP="00383EF8">
      <w:pPr>
        <w:spacing w:line="348" w:lineRule="auto"/>
        <w:ind w:firstLine="425"/>
        <w:rPr>
          <w:color w:val="auto"/>
        </w:rPr>
      </w:pPr>
      <w:r>
        <w:rPr>
          <w:color w:val="auto"/>
        </w:rPr>
        <w:t>Quốc hội. (2023a). Luật Nhà ở số 27/2023/QH15 ngày 27/11/2023.</w:t>
      </w:r>
    </w:p>
    <w:p w:rsidR="00764EB5" w:rsidRDefault="00DF13CC" w:rsidP="00383EF8">
      <w:pPr>
        <w:spacing w:line="348" w:lineRule="auto"/>
        <w:ind w:firstLine="425"/>
        <w:rPr>
          <w:color w:val="auto"/>
        </w:rPr>
      </w:pPr>
      <w:r>
        <w:rPr>
          <w:color w:val="auto"/>
        </w:rPr>
        <w:t xml:space="preserve"> Quốc hội. (2023b). Luật Kinh doanh bất động sản số 29/2023/QH15 ngày 28/11/2023.</w:t>
      </w:r>
    </w:p>
    <w:p w:rsidR="00764EB5" w:rsidRDefault="00DF13CC" w:rsidP="00383EF8">
      <w:pPr>
        <w:spacing w:line="348" w:lineRule="auto"/>
        <w:ind w:firstLine="425"/>
        <w:rPr>
          <w:color w:val="auto"/>
        </w:rPr>
      </w:pPr>
      <w:r>
        <w:rPr>
          <w:color w:val="auto"/>
        </w:rPr>
        <w:t xml:space="preserve"> Quốc hội. (2024). Luật Đất đai số 31/2024/QH15 ngày 18/01/2024.</w:t>
      </w:r>
    </w:p>
    <w:p w:rsidR="00764EB5" w:rsidRDefault="00DF13CC" w:rsidP="00383EF8">
      <w:pPr>
        <w:spacing w:line="348" w:lineRule="auto"/>
        <w:ind w:firstLine="425"/>
        <w:rPr>
          <w:color w:val="auto"/>
        </w:rPr>
      </w:pPr>
      <w:r>
        <w:rPr>
          <w:color w:val="auto"/>
        </w:rPr>
        <w:t xml:space="preserve"> Quốc hội. (2024a). Luật số 43/2024/QH15 ngày 29/06/2024 sửa đổi, bổ sung một số điều của Luật Đất đai số 31/2024/QH15, Luật Nhà ở số 27/2023/QH15, Luật Kinh doanh bất động sản số 29/2023/QH15 và Luật Các tổ chức tín dụng số 32/2024/QH15.</w:t>
      </w:r>
    </w:p>
    <w:p w:rsidR="00764EB5" w:rsidRDefault="00DF13CC" w:rsidP="00383EF8">
      <w:pPr>
        <w:spacing w:line="348" w:lineRule="auto"/>
        <w:ind w:firstLine="425"/>
        <w:rPr>
          <w:color w:val="auto"/>
        </w:rPr>
      </w:pPr>
      <w:r>
        <w:rPr>
          <w:color w:val="auto"/>
        </w:rPr>
        <w:t xml:space="preserve"> Quốc hội. (2025). Nghị quyết số 202/2025/QH15 ngày 12/06/2025 về việc sắp xếp đơn vị hành chính cấp tỉnh.</w:t>
      </w:r>
    </w:p>
    <w:p w:rsidR="00764EB5" w:rsidRDefault="00DF13CC" w:rsidP="003D6B28">
      <w:pPr>
        <w:ind w:firstLine="426"/>
        <w:rPr>
          <w:color w:val="auto"/>
        </w:rPr>
      </w:pPr>
      <w:r>
        <w:rPr>
          <w:color w:val="auto"/>
        </w:rPr>
        <w:t>Thủ tướng Chính phủ. (2024). Quyết định số 370/QĐ-TTg ngày 04/5/2024 phê duyệt Quy hoạch vùng Đông Nam Bộ thời kỳ 2021–2030, tầm nhìn đến năm 2050.</w:t>
      </w:r>
    </w:p>
    <w:p w:rsidR="00764EB5" w:rsidRDefault="00DF13CC" w:rsidP="003D6B28">
      <w:pPr>
        <w:ind w:firstLine="426"/>
        <w:rPr>
          <w:color w:val="auto"/>
        </w:rPr>
      </w:pPr>
      <w:r>
        <w:rPr>
          <w:color w:val="auto"/>
        </w:rPr>
        <w:lastRenderedPageBreak/>
        <w:t>Thủ tướng Chính phủ. (2025). Quyết định số 1125/QĐ-TTg ngày 11/06/2025 phê duyệt Đồ án điều chỉnh Quy hoạch chung Thành phố Hồ Chí Minh đến năm 2040, tầm nhìn đến năm 2060.</w:t>
      </w:r>
    </w:p>
    <w:p w:rsidR="00764EB5" w:rsidRPr="00383EF8" w:rsidRDefault="00DF13CC" w:rsidP="003D6B28">
      <w:pPr>
        <w:ind w:firstLine="426"/>
        <w:rPr>
          <w:rFonts w:ascii="Merriweather-Regular" w:hAnsi="Merriweather-Regular"/>
          <w:color w:val="333333"/>
          <w:spacing w:val="-4"/>
          <w:szCs w:val="26"/>
          <w:shd w:val="clear" w:color="auto" w:fill="FFFFFF"/>
        </w:rPr>
      </w:pPr>
      <w:r w:rsidRPr="00383EF8">
        <w:rPr>
          <w:rFonts w:ascii="Merriweather-Regular" w:hAnsi="Merriweather-Regular"/>
          <w:color w:val="333333"/>
          <w:spacing w:val="-4"/>
          <w:szCs w:val="26"/>
          <w:shd w:val="clear" w:color="auto" w:fill="FFFFFF"/>
        </w:rPr>
        <w:t>Thủ tướng chính phủ, 2026. Quyết định số 615/QĐ-TTg ngày 4/4/2026 phê duyệt Điều chỉnh Quy hoạch vùng Đông Nam Bộ thời kỳ 2021 - 2030, tầm nhìn đến năm 2050.</w:t>
      </w:r>
    </w:p>
    <w:p w:rsidR="00764EB5" w:rsidRDefault="00DF13CC" w:rsidP="00383EF8">
      <w:pPr>
        <w:spacing w:line="336" w:lineRule="auto"/>
        <w:ind w:firstLine="426"/>
        <w:rPr>
          <w:color w:val="auto"/>
        </w:rPr>
      </w:pPr>
      <w:r>
        <w:rPr>
          <w:color w:val="auto"/>
        </w:rPr>
        <w:t>Tổng cục Thống kê. (2025). Thông cáo báo chí Kết quả Điều tra dân số và nhà ở giữa kỳ năm 2024.</w:t>
      </w:r>
    </w:p>
    <w:p w:rsidR="00764EB5" w:rsidRDefault="00DF13CC" w:rsidP="00383EF8">
      <w:pPr>
        <w:spacing w:line="336" w:lineRule="auto"/>
        <w:ind w:firstLine="426"/>
        <w:rPr>
          <w:color w:val="auto"/>
        </w:rPr>
      </w:pPr>
      <w:r>
        <w:rPr>
          <w:color w:val="auto"/>
        </w:rPr>
        <w:t>Trần Xuân Lượng. (2021). Các nhân tố ảnh hưởng đến ý định của người mua nhà ở khu vực đô thị Việt Nam [Luận án tiến sĩ, Trường Đại học Kinh tế Quốc dân].</w:t>
      </w:r>
    </w:p>
    <w:p w:rsidR="00764EB5" w:rsidRDefault="00DF13CC" w:rsidP="00383EF8">
      <w:pPr>
        <w:spacing w:line="336" w:lineRule="auto"/>
        <w:ind w:firstLine="426"/>
        <w:rPr>
          <w:color w:val="auto"/>
        </w:rPr>
      </w:pPr>
      <w:r>
        <w:rPr>
          <w:color w:val="auto"/>
        </w:rPr>
        <w:t>Trần Xuân Lượng, Phạm Văn Linh, &amp; Phạm Lan Hương. (2020). Các nhân tố ảnh hưởng đến ý định mua nhà chung cư khu vực đô thị Việt Nam. Tạp chí Công Thương, số 12 (tháng 5/2020).</w:t>
      </w:r>
    </w:p>
    <w:p w:rsidR="00764EB5" w:rsidRDefault="00DF13CC" w:rsidP="00383EF8">
      <w:pPr>
        <w:spacing w:line="336" w:lineRule="auto"/>
        <w:ind w:firstLine="426"/>
        <w:rPr>
          <w:color w:val="auto"/>
        </w:rPr>
      </w:pPr>
      <w:r>
        <w:rPr>
          <w:color w:val="auto"/>
        </w:rPr>
        <w:t>Viện Kinh tế xây dựng - Bộ Xây dựng. (2026). Báo cáo diễn biến thị trường bất động sản năm 2025 và dự báo tình hình thị trường trong thời gian tới. Hà Nội: Viện Kinh tế xây dựng.</w:t>
      </w:r>
    </w:p>
    <w:p w:rsidR="00764EB5" w:rsidRDefault="00DF13CC" w:rsidP="00383EF8">
      <w:pPr>
        <w:pStyle w:val="Heading2"/>
        <w:spacing w:line="336" w:lineRule="auto"/>
      </w:pPr>
      <w:bookmarkStart w:id="800" w:name="_Toc238480700"/>
      <w:bookmarkStart w:id="801" w:name="_Toc241062532"/>
      <w:bookmarkStart w:id="802" w:name="_Toc241064473"/>
      <w:bookmarkStart w:id="803" w:name="_Toc241065406"/>
      <w:bookmarkStart w:id="804" w:name="_Toc241065624"/>
      <w:r>
        <w:t>Tài liệu nước ngoài</w:t>
      </w:r>
      <w:bookmarkEnd w:id="800"/>
      <w:bookmarkEnd w:id="801"/>
      <w:bookmarkEnd w:id="802"/>
      <w:bookmarkEnd w:id="803"/>
      <w:bookmarkEnd w:id="804"/>
    </w:p>
    <w:p w:rsidR="00764EB5" w:rsidRDefault="00DF13CC" w:rsidP="00383EF8">
      <w:pPr>
        <w:spacing w:line="336" w:lineRule="auto"/>
        <w:ind w:firstLine="426"/>
        <w:rPr>
          <w:color w:val="auto"/>
        </w:rPr>
      </w:pPr>
      <w:r>
        <w:rPr>
          <w:color w:val="auto"/>
        </w:rPr>
        <w:t>Adair, A., Berry, J., &amp; McGreal, S. (1996). Valuation of residential property: Analysis of participant behaviour. Journal of Property Valuation and Investment, 14(1), 20–35.</w:t>
      </w:r>
    </w:p>
    <w:p w:rsidR="00764EB5" w:rsidRDefault="00DF13CC" w:rsidP="00383EF8">
      <w:pPr>
        <w:spacing w:line="336" w:lineRule="auto"/>
        <w:ind w:firstLine="426"/>
        <w:rPr>
          <w:color w:val="auto"/>
        </w:rPr>
      </w:pPr>
      <w:r>
        <w:rPr>
          <w:color w:val="auto"/>
        </w:rPr>
        <w:t>Ajzen, I. (1985). From intentions to actions: A theory of planned behavior. In J. Kuhl &amp; J. Beckmann (Eds.), Action control: From cognition to behavior (pp. 11–39). Springer.</w:t>
      </w:r>
    </w:p>
    <w:p w:rsidR="00764EB5" w:rsidRPr="00383EF8" w:rsidRDefault="00DF13CC" w:rsidP="00383EF8">
      <w:pPr>
        <w:spacing w:line="336" w:lineRule="auto"/>
        <w:ind w:firstLine="426"/>
        <w:rPr>
          <w:color w:val="auto"/>
          <w:spacing w:val="-4"/>
        </w:rPr>
      </w:pPr>
      <w:r>
        <w:rPr>
          <w:color w:val="auto"/>
        </w:rPr>
        <w:t>Ajzen, I. (1991). The theory of planned behavior. Organizational Behavior and Human Decision Processes, 50(2), 179–211. https://doi.org/10.1016/0749-</w:t>
      </w:r>
      <w:r w:rsidRPr="00383EF8">
        <w:rPr>
          <w:color w:val="auto"/>
          <w:spacing w:val="-4"/>
        </w:rPr>
        <w:t>5978(91)90020-T</w:t>
      </w:r>
    </w:p>
    <w:p w:rsidR="00764EB5" w:rsidRPr="00383EF8" w:rsidRDefault="00DF13CC" w:rsidP="00383EF8">
      <w:pPr>
        <w:spacing w:line="336" w:lineRule="auto"/>
        <w:ind w:firstLine="426"/>
        <w:rPr>
          <w:color w:val="auto"/>
          <w:spacing w:val="-4"/>
        </w:rPr>
      </w:pPr>
      <w:r w:rsidRPr="00383EF8">
        <w:rPr>
          <w:color w:val="auto"/>
          <w:spacing w:val="-4"/>
        </w:rPr>
        <w:t>Ajzen, I. (2002). Perceived behavioral control, self-efficacy, locus of control, and the theory of planned behavior. Journal of Applied Social Psychology, 32(4), 665–683.</w:t>
      </w:r>
    </w:p>
    <w:p w:rsidR="00764EB5" w:rsidRDefault="00DF13CC" w:rsidP="00383EF8">
      <w:pPr>
        <w:spacing w:line="336" w:lineRule="auto"/>
        <w:ind w:firstLine="426"/>
        <w:rPr>
          <w:color w:val="auto"/>
        </w:rPr>
      </w:pPr>
      <w:r>
        <w:rPr>
          <w:color w:val="auto"/>
        </w:rPr>
        <w:t>Ajzen, I. (2020). The theory of planned behavior: Frequently asked questions. Human Behavior and Emerging Technologies, 2(4), 314–324. https://doi.org/10.1002/hbe2.195</w:t>
      </w:r>
    </w:p>
    <w:p w:rsidR="00764EB5" w:rsidRDefault="00DF13CC" w:rsidP="00383EF8">
      <w:pPr>
        <w:spacing w:line="336" w:lineRule="auto"/>
        <w:ind w:firstLine="426"/>
        <w:rPr>
          <w:color w:val="auto"/>
        </w:rPr>
      </w:pPr>
      <w:r>
        <w:rPr>
          <w:color w:val="auto"/>
        </w:rPr>
        <w:lastRenderedPageBreak/>
        <w:t>Ajzen, I., &amp; Fishbein, M. (1980). Understanding attitudes and predicting social behavior. Prentice-Hall.</w:t>
      </w:r>
    </w:p>
    <w:p w:rsidR="00764EB5" w:rsidRDefault="00DF13CC" w:rsidP="003D6B28">
      <w:pPr>
        <w:ind w:firstLine="426"/>
        <w:rPr>
          <w:color w:val="auto"/>
        </w:rPr>
      </w:pPr>
      <w:r>
        <w:rPr>
          <w:color w:val="auto"/>
        </w:rPr>
        <w:t>Al-Nahdi, T. S. (2015). Factors influencing the intention to purchase real estate in Saudi Arabia: The role of location. Journal of Applied Science and Agriculture, 10(2), 1–11.</w:t>
      </w:r>
    </w:p>
    <w:p w:rsidR="00764EB5" w:rsidRDefault="00DF13CC" w:rsidP="003D6B28">
      <w:pPr>
        <w:ind w:firstLine="426"/>
        <w:rPr>
          <w:color w:val="auto"/>
        </w:rPr>
      </w:pPr>
      <w:r>
        <w:rPr>
          <w:color w:val="auto"/>
        </w:rPr>
        <w:t>Al-Nahdi, T. S., Habib, S. A., Bakar, A. H. A., Bahklah, M. S., Ghazzawi, O. H., &amp; Al-Attas, H. A. (2015a). The effect of attitude, dimensions of subjective norm, and perceived behavior control on the intention to purchase real estate in Saudi Arabia. International Journal of Marketing Studies, 7(5), 120–132.</w:t>
      </w:r>
    </w:p>
    <w:p w:rsidR="00764EB5" w:rsidRDefault="00DF13CC" w:rsidP="003D6B28">
      <w:pPr>
        <w:ind w:firstLine="426"/>
        <w:rPr>
          <w:color w:val="auto"/>
        </w:rPr>
      </w:pPr>
      <w:r>
        <w:rPr>
          <w:color w:val="auto"/>
        </w:rPr>
        <w:t xml:space="preserve"> Al-Nahdi, T. S., Nyakwende, E., Banamah, A. M., &amp; Jappie, A. A. (2015b). Factors affecting purchasing behavior in real estate in Saudi Arabia. International Journal of Business and Social Science, 6(2), 35–48.</w:t>
      </w:r>
    </w:p>
    <w:p w:rsidR="00764EB5" w:rsidRDefault="00DF13CC" w:rsidP="003D6B28">
      <w:pPr>
        <w:ind w:firstLine="426"/>
        <w:rPr>
          <w:color w:val="auto"/>
        </w:rPr>
      </w:pPr>
      <w:r>
        <w:rPr>
          <w:color w:val="auto"/>
        </w:rPr>
        <w:t>Anderson, J. C., &amp; Gerbing, D. W. (1988). Structural equation modeling in practice: A review and recommended two-step approach. Psychological Bulletin, 103(3), 411–423.</w:t>
      </w:r>
    </w:p>
    <w:p w:rsidR="00764EB5" w:rsidRPr="00383EF8" w:rsidRDefault="00DF13CC" w:rsidP="003D6B28">
      <w:pPr>
        <w:ind w:firstLine="426"/>
        <w:rPr>
          <w:color w:val="auto"/>
          <w:spacing w:val="-4"/>
        </w:rPr>
      </w:pPr>
      <w:r w:rsidRPr="00383EF8">
        <w:rPr>
          <w:color w:val="auto"/>
          <w:spacing w:val="-4"/>
        </w:rPr>
        <w:t xml:space="preserve"> Armitage, C. J., &amp; Conner, M. (2001). Efficacy of the theory of planned behaviour: A meta-analytic review. British Journal of Social Psychology, 40(4), 471–499.</w:t>
      </w:r>
    </w:p>
    <w:p w:rsidR="00764EB5" w:rsidRDefault="00DF13CC" w:rsidP="003D6B28">
      <w:pPr>
        <w:ind w:firstLine="426"/>
        <w:rPr>
          <w:color w:val="auto"/>
        </w:rPr>
      </w:pPr>
      <w:r>
        <w:rPr>
          <w:color w:val="auto"/>
        </w:rPr>
        <w:t>Arnould, E. J., &amp; Thompson, C. J. (2005). Consumer culture theory (CCT): Twenty years of research. Journal of Consumer Research, 31(4), 868–882. https://doi.org/10.1086/426626</w:t>
      </w:r>
    </w:p>
    <w:p w:rsidR="00764EB5" w:rsidRDefault="00DF13CC" w:rsidP="003D6B28">
      <w:pPr>
        <w:ind w:firstLine="426"/>
        <w:rPr>
          <w:color w:val="auto"/>
        </w:rPr>
      </w:pPr>
      <w:r>
        <w:rPr>
          <w:color w:val="auto"/>
        </w:rPr>
        <w:t>Bagozzi, R. P. (1992). The self-regulation of attitudes, intentions, and behavior. Social Psychology Quarterly, 55(2), 178–204.</w:t>
      </w:r>
    </w:p>
    <w:p w:rsidR="00764EB5" w:rsidRDefault="00DF13CC" w:rsidP="003D6B28">
      <w:pPr>
        <w:ind w:firstLine="426"/>
        <w:rPr>
          <w:color w:val="auto"/>
        </w:rPr>
      </w:pPr>
      <w:r>
        <w:rPr>
          <w:color w:val="auto"/>
        </w:rPr>
        <w:t xml:space="preserve"> Bauer, R. A. (1960). Consumer behavior as risk taking. In R. S. Hancock (Ed.), Dynamic marketing for a changing world (pp. 389–398). American Marketing Association.</w:t>
      </w:r>
    </w:p>
    <w:p w:rsidR="00764EB5" w:rsidRDefault="00DF13CC" w:rsidP="003D6B28">
      <w:pPr>
        <w:ind w:firstLine="426"/>
        <w:rPr>
          <w:color w:val="auto"/>
        </w:rPr>
      </w:pPr>
      <w:r>
        <w:rPr>
          <w:color w:val="auto"/>
        </w:rPr>
        <w:t>Bollen, K. A. (1989). Structural equations with latent variables. Wiley.</w:t>
      </w:r>
    </w:p>
    <w:p w:rsidR="00764EB5" w:rsidRDefault="00DF13CC" w:rsidP="003D6B28">
      <w:pPr>
        <w:ind w:firstLine="426"/>
        <w:rPr>
          <w:color w:val="auto"/>
        </w:rPr>
      </w:pPr>
      <w:r>
        <w:rPr>
          <w:color w:val="auto"/>
        </w:rPr>
        <w:t>Braun, V., &amp; Clarke, V. (2006). Using thematic analysis in psychology. Qualitative Research in Psychology, 3(2), 77–101.</w:t>
      </w:r>
    </w:p>
    <w:p w:rsidR="00764EB5" w:rsidRDefault="00DF13CC" w:rsidP="003D6B28">
      <w:pPr>
        <w:ind w:firstLine="426"/>
        <w:rPr>
          <w:color w:val="auto"/>
        </w:rPr>
      </w:pPr>
      <w:r>
        <w:rPr>
          <w:color w:val="auto"/>
        </w:rPr>
        <w:lastRenderedPageBreak/>
        <w:t>Chia, J., Harun, A., Kassim, A. W. M., Martin, D., &amp; Kepal, N. (2016). Understanding factors that influence house purchase intention among consumers in Kota Kinabalu: An application of buyer behavior model theory. Journal of Technology Management and Business, 3(2), 94–110.</w:t>
      </w:r>
    </w:p>
    <w:p w:rsidR="00764EB5" w:rsidRDefault="00DF13CC" w:rsidP="003D6B28">
      <w:pPr>
        <w:ind w:firstLine="426"/>
        <w:rPr>
          <w:color w:val="auto"/>
        </w:rPr>
      </w:pPr>
      <w:r>
        <w:rPr>
          <w:color w:val="auto"/>
        </w:rPr>
        <w:t>Chin, W. W. (1998). The partial least squares approach to structural equation modeling. In G. A. Marcoulides (Ed.), Modern methods for business research (pp. 295–336). Lawrence Erlbaum Associates.</w:t>
      </w:r>
    </w:p>
    <w:p w:rsidR="00764EB5" w:rsidRDefault="00DF13CC" w:rsidP="003D6B28">
      <w:pPr>
        <w:ind w:firstLine="426"/>
        <w:rPr>
          <w:color w:val="auto"/>
        </w:rPr>
      </w:pPr>
      <w:r>
        <w:rPr>
          <w:color w:val="auto"/>
        </w:rPr>
        <w:t xml:space="preserve"> Cohen, J. (1988). Statistical power analysis for the behavioral sciences (2nd ed.). Lawrence Erlbaum Associates.</w:t>
      </w:r>
    </w:p>
    <w:p w:rsidR="00764EB5" w:rsidRDefault="00DF13CC" w:rsidP="00383EF8">
      <w:pPr>
        <w:spacing w:line="348" w:lineRule="auto"/>
        <w:ind w:firstLine="425"/>
        <w:rPr>
          <w:color w:val="auto"/>
        </w:rPr>
      </w:pPr>
      <w:r>
        <w:rPr>
          <w:color w:val="auto"/>
        </w:rPr>
        <w:t>Cohen, J. (1992). A power primer. Psychological Bulletin, 112(1), 155–159.</w:t>
      </w:r>
    </w:p>
    <w:p w:rsidR="00764EB5" w:rsidRDefault="00DF13CC" w:rsidP="00383EF8">
      <w:pPr>
        <w:spacing w:line="348" w:lineRule="auto"/>
        <w:ind w:firstLine="425"/>
        <w:rPr>
          <w:color w:val="auto"/>
        </w:rPr>
      </w:pPr>
      <w:r>
        <w:rPr>
          <w:color w:val="auto"/>
        </w:rPr>
        <w:t>Conchar, M. P., Zinkhan, G. M., Peters, C., &amp; Olavarrieta, S. (2004). An integrated framework for the conceptualization of consumers’ perceived-risk processing. Journal of the Academy of Marketing Science, 32(4), 418–436.</w:t>
      </w:r>
    </w:p>
    <w:p w:rsidR="00764EB5" w:rsidRDefault="00DF13CC" w:rsidP="00383EF8">
      <w:pPr>
        <w:spacing w:line="348" w:lineRule="auto"/>
        <w:ind w:firstLine="425"/>
        <w:rPr>
          <w:color w:val="auto"/>
        </w:rPr>
      </w:pPr>
      <w:r>
        <w:rPr>
          <w:color w:val="auto"/>
        </w:rPr>
        <w:t xml:space="preserve"> Conner, M., &amp; Armitage, C. J. (1998). Extending the theory of planned behavior: A review and avenues for further research. Journal of Applied Social Psychology, 28(15), 1429–1464.</w:t>
      </w:r>
    </w:p>
    <w:p w:rsidR="00764EB5" w:rsidRDefault="00DF13CC" w:rsidP="00383EF8">
      <w:pPr>
        <w:spacing w:line="348" w:lineRule="auto"/>
        <w:ind w:firstLine="425"/>
        <w:rPr>
          <w:color w:val="auto"/>
        </w:rPr>
      </w:pPr>
      <w:r>
        <w:rPr>
          <w:color w:val="auto"/>
        </w:rPr>
        <w:t>Coolen, H., &amp; Hoekstra, J. (2001). Values as determinants of preferences for housing attributes. Journal of Housing and the Built Environment, 16(3–4), 285–306. https://doi.org/10.1023/A:1012587323814</w:t>
      </w:r>
    </w:p>
    <w:p w:rsidR="00764EB5" w:rsidRDefault="00DF13CC" w:rsidP="00383EF8">
      <w:pPr>
        <w:spacing w:line="348" w:lineRule="auto"/>
        <w:ind w:firstLine="425"/>
        <w:rPr>
          <w:color w:val="auto"/>
        </w:rPr>
      </w:pPr>
      <w:r>
        <w:rPr>
          <w:color w:val="auto"/>
        </w:rPr>
        <w:t>Creswell, J. W. (2014). Research design: Qualitative, quantitative, and mixed methods approaches (4th ed.). Sage.</w:t>
      </w:r>
    </w:p>
    <w:p w:rsidR="00764EB5" w:rsidRDefault="00DF13CC" w:rsidP="00383EF8">
      <w:pPr>
        <w:spacing w:line="348" w:lineRule="auto"/>
        <w:ind w:firstLine="425"/>
        <w:rPr>
          <w:color w:val="auto"/>
        </w:rPr>
      </w:pPr>
      <w:r>
        <w:rPr>
          <w:color w:val="auto"/>
        </w:rPr>
        <w:t>Creswell, J. W., &amp; Creswell, J. D. (2018). Research design: Qualitative, quantitative, and mixed methods approaches (5th ed.). Sage.</w:t>
      </w:r>
    </w:p>
    <w:p w:rsidR="00764EB5" w:rsidRDefault="00DF13CC" w:rsidP="00383EF8">
      <w:pPr>
        <w:spacing w:line="348" w:lineRule="auto"/>
        <w:ind w:firstLine="425"/>
        <w:rPr>
          <w:color w:val="auto"/>
        </w:rPr>
      </w:pPr>
      <w:r>
        <w:rPr>
          <w:color w:val="auto"/>
        </w:rPr>
        <w:t>Dijkstra, T. K., &amp; Henseler, J. (2015). Consistent partial least squares path modeling. MIS Quarterly, 39(2), 297–316.</w:t>
      </w:r>
    </w:p>
    <w:p w:rsidR="00764EB5" w:rsidRDefault="00DF13CC" w:rsidP="00383EF8">
      <w:pPr>
        <w:spacing w:line="348" w:lineRule="auto"/>
        <w:ind w:firstLine="425"/>
        <w:rPr>
          <w:color w:val="auto"/>
        </w:rPr>
      </w:pPr>
      <w:r>
        <w:rPr>
          <w:color w:val="auto"/>
        </w:rPr>
        <w:t>Dodds, W. B., Monroe, K. B., &amp; Grewal, D. (1991). Effects of price, brand, and store information on buyers’ product evaluations. Journal of Marketing Research, 28(3), 307–319.</w:t>
      </w:r>
    </w:p>
    <w:p w:rsidR="00764EB5" w:rsidRDefault="00DF13CC" w:rsidP="00383EF8">
      <w:pPr>
        <w:spacing w:line="348" w:lineRule="auto"/>
        <w:ind w:firstLine="425"/>
        <w:rPr>
          <w:color w:val="auto"/>
        </w:rPr>
      </w:pPr>
      <w:r>
        <w:rPr>
          <w:color w:val="auto"/>
        </w:rPr>
        <w:t>Dowling, G. R., &amp; Staelin, R. (1994). A model of perceived risk and intended risk-handling activity. Journal of Consumer Research, 21(1), 119–134.</w:t>
      </w:r>
    </w:p>
    <w:p w:rsidR="00764EB5" w:rsidRDefault="00DF13CC" w:rsidP="00383EF8">
      <w:pPr>
        <w:spacing w:line="348" w:lineRule="auto"/>
        <w:ind w:firstLine="425"/>
        <w:rPr>
          <w:color w:val="auto"/>
        </w:rPr>
      </w:pPr>
      <w:r>
        <w:rPr>
          <w:color w:val="auto"/>
        </w:rPr>
        <w:lastRenderedPageBreak/>
        <w:t>Eagly, A. H., &amp; Chaiken, S. (1993). The psychology of attitudes. Harcourt Brace Jovanovich.</w:t>
      </w:r>
    </w:p>
    <w:p w:rsidR="00764EB5" w:rsidRDefault="00DF13CC" w:rsidP="00383EF8">
      <w:pPr>
        <w:spacing w:line="348" w:lineRule="auto"/>
        <w:ind w:firstLine="425"/>
        <w:rPr>
          <w:color w:val="auto"/>
        </w:rPr>
      </w:pPr>
      <w:r>
        <w:rPr>
          <w:color w:val="auto"/>
        </w:rPr>
        <w:t>El-Nachar, E. (2011). Design quality in the real estate market: Clients’ preferences versus developers’ interests. ArchNet-IJAR: International Journal of Architectural Research, 5(2), 77–90.</w:t>
      </w:r>
    </w:p>
    <w:p w:rsidR="00764EB5" w:rsidRDefault="00DF13CC" w:rsidP="00383EF8">
      <w:pPr>
        <w:spacing w:line="348" w:lineRule="auto"/>
        <w:ind w:firstLine="425"/>
        <w:rPr>
          <w:color w:val="auto"/>
        </w:rPr>
      </w:pPr>
      <w:r>
        <w:rPr>
          <w:color w:val="auto"/>
        </w:rPr>
        <w:t xml:space="preserve"> Faul, F., Erdfelder, E., Buchner, A., &amp; Lang, A.-G. (2009). Statistical power analyses using G*Power 3.1: Tests for correlation and regression analyses. Behavior Research Methods, 41, 1149–1160.</w:t>
      </w:r>
    </w:p>
    <w:p w:rsidR="00764EB5" w:rsidRDefault="00DF13CC" w:rsidP="003D6B28">
      <w:pPr>
        <w:ind w:firstLine="426"/>
        <w:rPr>
          <w:color w:val="auto"/>
        </w:rPr>
      </w:pPr>
      <w:r>
        <w:rPr>
          <w:color w:val="auto"/>
        </w:rPr>
        <w:t>Field, A. (2018). Discovering statistics using IBM SPSS Statistics (5th ed.). Sage.</w:t>
      </w:r>
    </w:p>
    <w:p w:rsidR="00764EB5" w:rsidRDefault="00DF13CC" w:rsidP="003D6B28">
      <w:pPr>
        <w:ind w:firstLine="426"/>
        <w:rPr>
          <w:color w:val="auto"/>
        </w:rPr>
      </w:pPr>
      <w:r>
        <w:rPr>
          <w:color w:val="auto"/>
        </w:rPr>
        <w:t>Fishbein, M., &amp; Ajzen, I. (1975). Belief, attitude, intention and behavior: An introduction to theory and research. Addison-Wesley.</w:t>
      </w:r>
    </w:p>
    <w:p w:rsidR="00764EB5" w:rsidRDefault="00DF13CC" w:rsidP="003D6B28">
      <w:pPr>
        <w:ind w:firstLine="426"/>
        <w:rPr>
          <w:color w:val="auto"/>
        </w:rPr>
      </w:pPr>
      <w:r>
        <w:rPr>
          <w:color w:val="auto"/>
        </w:rPr>
        <w:t>Fornell, C., &amp; Larcker, D. F. (1981). Evaluating structural equation models with unobservable variables and measurement error. Journal of Marketing Research, 18(1), 39–50.</w:t>
      </w:r>
    </w:p>
    <w:p w:rsidR="00764EB5" w:rsidRDefault="00DF13CC" w:rsidP="003D6B28">
      <w:pPr>
        <w:ind w:firstLine="426"/>
        <w:rPr>
          <w:color w:val="auto"/>
        </w:rPr>
      </w:pPr>
      <w:r>
        <w:rPr>
          <w:color w:val="auto"/>
        </w:rPr>
        <w:t>Gibler, K. M., &amp; Nelson, S. L. (2003). Consumer behavior applications to real estate education. Journal of Real Estate Practice and Education, 6(1), 63–83.</w:t>
      </w:r>
    </w:p>
    <w:p w:rsidR="00764EB5" w:rsidRDefault="00DF13CC" w:rsidP="003D6B28">
      <w:pPr>
        <w:ind w:firstLine="426"/>
        <w:rPr>
          <w:color w:val="auto"/>
        </w:rPr>
      </w:pPr>
      <w:r>
        <w:rPr>
          <w:color w:val="auto"/>
        </w:rPr>
        <w:t>Guest, G., Bunce, A., &amp; Johnson, L. (2006). How many interviews are enough? An experiment with data saturation and variability. Field Methods, 18(1), 59–82.</w:t>
      </w:r>
    </w:p>
    <w:p w:rsidR="00764EB5" w:rsidRDefault="00DF13CC" w:rsidP="003D6B28">
      <w:pPr>
        <w:ind w:firstLine="426"/>
        <w:rPr>
          <w:color w:val="auto"/>
        </w:rPr>
      </w:pPr>
      <w:r>
        <w:rPr>
          <w:color w:val="auto"/>
        </w:rPr>
        <w:t>Haddad, M., Judeh, M., &amp; Haddad, S. (2011). Factors affecting buying behavior of an apartment: An empirical investigation in Amman, Jordan. Research Journal of Applied Sciences, Engineering and Technology, 3(3), 234–239.</w:t>
      </w:r>
    </w:p>
    <w:p w:rsidR="00764EB5" w:rsidRDefault="00DF13CC" w:rsidP="003D6B28">
      <w:pPr>
        <w:ind w:firstLine="426"/>
        <w:rPr>
          <w:color w:val="auto"/>
        </w:rPr>
      </w:pPr>
      <w:r>
        <w:rPr>
          <w:color w:val="auto"/>
        </w:rPr>
        <w:t>Hair, J. F., Black, W. C., Babin, B. J., &amp; Anderson, R. E. (2010). Multivariate data analysis (7th ed.). Pearson.</w:t>
      </w:r>
    </w:p>
    <w:p w:rsidR="00764EB5" w:rsidRDefault="00DF13CC" w:rsidP="003D6B28">
      <w:pPr>
        <w:ind w:firstLine="426"/>
        <w:rPr>
          <w:color w:val="auto"/>
        </w:rPr>
      </w:pPr>
      <w:r>
        <w:rPr>
          <w:color w:val="auto"/>
        </w:rPr>
        <w:t>Hair, J. F., Black, W. C., Babin, B. J., &amp; Anderson, R. E. (2019). Multivariate data analysis (8th ed.). Cengage.</w:t>
      </w:r>
    </w:p>
    <w:p w:rsidR="00764EB5" w:rsidRDefault="00DF13CC" w:rsidP="003D6B28">
      <w:pPr>
        <w:ind w:firstLine="426"/>
        <w:rPr>
          <w:color w:val="auto"/>
        </w:rPr>
      </w:pPr>
      <w:r>
        <w:rPr>
          <w:color w:val="auto"/>
        </w:rPr>
        <w:t>Hair, J. F., Hult, G. T. M., Ringle, C. M., &amp; Sarstedt, M. (2022). A primer on partial least squares structural equation modeling (PLS-SEM) (3rd ed.). Sage.</w:t>
      </w:r>
    </w:p>
    <w:p w:rsidR="00764EB5" w:rsidRDefault="00DF13CC" w:rsidP="003D6B28">
      <w:pPr>
        <w:ind w:firstLine="426"/>
        <w:rPr>
          <w:color w:val="auto"/>
        </w:rPr>
      </w:pPr>
      <w:r>
        <w:rPr>
          <w:color w:val="auto"/>
        </w:rPr>
        <w:t xml:space="preserve"> Hair, J. F., Hult, G. T. M., Ringle, C. M., Sarstedt, M., Danks, N. P., &amp; Ray, S. (2021). Partial least squares structural equation modeling (PLS-SEM) using R: A workbook. Springer. https://doi.org/10.1007/978-3-030-80519-7</w:t>
      </w:r>
    </w:p>
    <w:p w:rsidR="00764EB5" w:rsidRDefault="00DF13CC" w:rsidP="003D6B28">
      <w:pPr>
        <w:ind w:firstLine="426"/>
        <w:rPr>
          <w:color w:val="auto"/>
        </w:rPr>
      </w:pPr>
      <w:r>
        <w:rPr>
          <w:color w:val="auto"/>
        </w:rPr>
        <w:lastRenderedPageBreak/>
        <w:t xml:space="preserve"> Hair, J. F., Risher, J. J., Sarstedt, M., &amp; Ringle, C. M. (2019). When to use and how to report the results of PLS-SEM. European Business Review, 31(1), 2–24. https://doi.org/10.1108/EBR-11-2018-0203</w:t>
      </w:r>
    </w:p>
    <w:p w:rsidR="00764EB5" w:rsidRDefault="00DF13CC" w:rsidP="003D6B28">
      <w:pPr>
        <w:ind w:firstLine="426"/>
        <w:rPr>
          <w:color w:val="auto"/>
        </w:rPr>
      </w:pPr>
      <w:r>
        <w:rPr>
          <w:color w:val="auto"/>
        </w:rPr>
        <w:t>Henseler, J., Ringle, C. M., &amp; Sarstedt, M. (2015). A new criterion for assessing discriminant validity in variance-based structural equation modeling. Journal of the Academy of Marketing Science, 43, 115–135. https://doi.org/10.1007/s11747-014-0403-8</w:t>
      </w:r>
    </w:p>
    <w:p w:rsidR="00764EB5" w:rsidRDefault="00DF13CC" w:rsidP="003D6B28">
      <w:pPr>
        <w:ind w:firstLine="426"/>
        <w:rPr>
          <w:color w:val="auto"/>
        </w:rPr>
      </w:pPr>
      <w:r>
        <w:rPr>
          <w:color w:val="auto"/>
        </w:rPr>
        <w:t>Henseler, J., Ringle, C. M., &amp; Sinkovics, R. R. (2009). The use of partial least squares path modeling in international marketing. Advances in International Marketing, 20, 277–319.</w:t>
      </w:r>
    </w:p>
    <w:p w:rsidR="00764EB5" w:rsidRDefault="00DF13CC" w:rsidP="003D6B28">
      <w:pPr>
        <w:ind w:firstLine="426"/>
        <w:rPr>
          <w:color w:val="auto"/>
        </w:rPr>
      </w:pPr>
      <w:r>
        <w:rPr>
          <w:color w:val="auto"/>
        </w:rPr>
        <w:t>Holbrook, M. B. (Ed.). (1999). Consumer value: A framework for analysis and research. Routledge.</w:t>
      </w:r>
    </w:p>
    <w:p w:rsidR="00764EB5" w:rsidRDefault="00DF13CC" w:rsidP="003D6B28">
      <w:pPr>
        <w:ind w:firstLine="426"/>
        <w:rPr>
          <w:color w:val="auto"/>
        </w:rPr>
      </w:pPr>
      <w:r>
        <w:rPr>
          <w:color w:val="auto"/>
        </w:rPr>
        <w:t xml:space="preserve"> Howard, J. A., &amp; Sheth, J. N. (1969). The theory of buyer behavior. Wiley.</w:t>
      </w:r>
    </w:p>
    <w:p w:rsidR="00764EB5" w:rsidRDefault="00DF13CC" w:rsidP="003D6B28">
      <w:pPr>
        <w:ind w:firstLine="426"/>
        <w:rPr>
          <w:color w:val="auto"/>
        </w:rPr>
      </w:pPr>
      <w:r>
        <w:rPr>
          <w:color w:val="auto"/>
        </w:rPr>
        <w:t>Islam, M. A. (2024). Modeling apartment purchase intention using the extended theory of planned behavior in Dhaka City, Bangladesh [PhD thesis, Universiti Sains Malaysia].</w:t>
      </w:r>
    </w:p>
    <w:p w:rsidR="00764EB5" w:rsidRDefault="00DF13CC" w:rsidP="003D6B28">
      <w:pPr>
        <w:ind w:firstLine="426"/>
        <w:rPr>
          <w:color w:val="auto"/>
        </w:rPr>
      </w:pPr>
      <w:r>
        <w:rPr>
          <w:color w:val="auto"/>
        </w:rPr>
        <w:t xml:space="preserve"> Islam, M. A., Saidin, Z. H., Ayub, M. A., &amp; Islam, M. S. (2022). Modelling behavioural intention to buy apartments in Bangladesh: An extended theory of planned behaviour (TPB). Heliyon, 8(9), e10519. https://doi.org/10.1016/j.heliyon.2022.e10519</w:t>
      </w:r>
    </w:p>
    <w:p w:rsidR="00764EB5" w:rsidRDefault="00DF13CC" w:rsidP="003D6B28">
      <w:pPr>
        <w:ind w:firstLine="426"/>
        <w:rPr>
          <w:color w:val="auto"/>
        </w:rPr>
      </w:pPr>
      <w:r>
        <w:rPr>
          <w:color w:val="auto"/>
        </w:rPr>
        <w:t>Jansen, S. J. T., Coolen, H. C. C. H., &amp; Goetgeluk, R. W. (Eds.). (2011). The measurement and analysis of housing preference and choice. Springer. https://doi.org/10.1007/978-90-481-8894-9</w:t>
      </w:r>
    </w:p>
    <w:p w:rsidR="00764EB5" w:rsidRDefault="00DF13CC" w:rsidP="003D6B28">
      <w:pPr>
        <w:ind w:firstLine="426"/>
        <w:rPr>
          <w:color w:val="auto"/>
        </w:rPr>
      </w:pPr>
      <w:r>
        <w:rPr>
          <w:color w:val="auto"/>
        </w:rPr>
        <w:t>Judge, M., Warren-Myers, G., &amp; Paladino, A. (2019). Using the theory of planned behaviour to predict intentions to purchase sustainable housing. Journal of Cleaner Production, 215, 259–267.</w:t>
      </w:r>
    </w:p>
    <w:p w:rsidR="00764EB5" w:rsidRDefault="00DF13CC" w:rsidP="003D6B28">
      <w:pPr>
        <w:ind w:firstLine="426"/>
        <w:rPr>
          <w:color w:val="auto"/>
        </w:rPr>
      </w:pPr>
      <w:r>
        <w:rPr>
          <w:color w:val="auto"/>
        </w:rPr>
        <w:t>Kaiser, H. F. (1974). An index of factorial simplicity. Psychometrika, 39(1), 31–36.</w:t>
      </w:r>
    </w:p>
    <w:p w:rsidR="00764EB5" w:rsidRDefault="00DF13CC" w:rsidP="003D6B28">
      <w:pPr>
        <w:ind w:firstLine="426"/>
        <w:rPr>
          <w:color w:val="auto"/>
        </w:rPr>
      </w:pPr>
      <w:r>
        <w:rPr>
          <w:color w:val="auto"/>
        </w:rPr>
        <w:lastRenderedPageBreak/>
        <w:t>Kamal, M., &amp; Pramanik, S. A. (2015a). Customers’ intention towards purchasing apartment in Dhaka City, Bangladesh: Offering an alternative buying intention model. European Journal of Business and Management, 7(35), 45–58.</w:t>
      </w:r>
    </w:p>
    <w:p w:rsidR="00764EB5" w:rsidRDefault="00DF13CC" w:rsidP="003D6B28">
      <w:pPr>
        <w:ind w:firstLine="426"/>
        <w:rPr>
          <w:color w:val="auto"/>
        </w:rPr>
      </w:pPr>
      <w:r>
        <w:rPr>
          <w:color w:val="auto"/>
        </w:rPr>
        <w:t>Kamal, M., &amp; Pramanik, S. A. (2015b). Factors affecting customers to buy apartments in Dhaka City. Daffodil International University Journal of Business and Economics, 9(2), 37–49.</w:t>
      </w:r>
    </w:p>
    <w:p w:rsidR="00764EB5" w:rsidRPr="00383EF8" w:rsidRDefault="00DF13CC" w:rsidP="003D6B28">
      <w:pPr>
        <w:ind w:firstLine="426"/>
        <w:rPr>
          <w:color w:val="auto"/>
          <w:spacing w:val="-8"/>
        </w:rPr>
      </w:pPr>
      <w:r w:rsidRPr="00383EF8">
        <w:rPr>
          <w:color w:val="auto"/>
          <w:spacing w:val="-8"/>
        </w:rPr>
        <w:t>Kauko, T. (2006). What makes a location attractive for the housing consumer? Preliminary findings from metropolitan Helsinki and Randstad Holland using the analytical hierarchy process. Journal of Housing and the Built Environment, 21(1), 1–18.</w:t>
      </w:r>
    </w:p>
    <w:p w:rsidR="00764EB5" w:rsidRDefault="00DF13CC" w:rsidP="00383EF8">
      <w:pPr>
        <w:spacing w:line="348" w:lineRule="auto"/>
        <w:ind w:firstLine="425"/>
        <w:rPr>
          <w:color w:val="auto"/>
        </w:rPr>
      </w:pPr>
      <w:r>
        <w:rPr>
          <w:color w:val="auto"/>
        </w:rPr>
        <w:t>Khaled, M. C., Sultana, T., Biswas, S. K., &amp; Karan, R. (2012). Real estate industry in Chittagong (Bangladesh): A survey on customer perception and expectation. Developing Country Studies, 2(2), 38–45.</w:t>
      </w:r>
    </w:p>
    <w:p w:rsidR="00764EB5" w:rsidRDefault="00DF13CC" w:rsidP="00383EF8">
      <w:pPr>
        <w:spacing w:line="348" w:lineRule="auto"/>
        <w:ind w:firstLine="425"/>
        <w:rPr>
          <w:color w:val="auto"/>
        </w:rPr>
      </w:pPr>
      <w:r>
        <w:rPr>
          <w:color w:val="auto"/>
        </w:rPr>
        <w:t>Khoo, D., Goh, Y.-N., &amp; Ting, M.-S. (2020). Investigation on buyers’ purchase intention of high-rise properties in Malaysia in the era of 4.0. Proceedings of the First ASEAN Business, Environment, and Technology Symposium.</w:t>
      </w:r>
    </w:p>
    <w:p w:rsidR="00764EB5" w:rsidRDefault="00DF13CC" w:rsidP="00383EF8">
      <w:pPr>
        <w:spacing w:line="348" w:lineRule="auto"/>
        <w:ind w:firstLine="425"/>
        <w:rPr>
          <w:color w:val="auto"/>
        </w:rPr>
      </w:pPr>
      <w:r>
        <w:rPr>
          <w:color w:val="auto"/>
          <w:lang w:val="fr-FR"/>
        </w:rPr>
        <w:t xml:space="preserve">Kim, J.-O., &amp; Mueller, C. W. (1978). </w:t>
      </w:r>
      <w:r>
        <w:rPr>
          <w:color w:val="auto"/>
        </w:rPr>
        <w:t>Factor analysis: Statistical methods and practical issues. Sage.</w:t>
      </w:r>
    </w:p>
    <w:p w:rsidR="00764EB5" w:rsidRDefault="00DF13CC" w:rsidP="00383EF8">
      <w:pPr>
        <w:spacing w:line="348" w:lineRule="auto"/>
        <w:ind w:firstLine="425"/>
        <w:rPr>
          <w:color w:val="auto"/>
        </w:rPr>
      </w:pPr>
      <w:r>
        <w:rPr>
          <w:color w:val="auto"/>
        </w:rPr>
        <w:t>Kline, R. B. (2016). Principles and practice of structural equation modeling (4th ed.). Guilford Press.</w:t>
      </w:r>
    </w:p>
    <w:p w:rsidR="00764EB5" w:rsidRDefault="00DF13CC" w:rsidP="00383EF8">
      <w:pPr>
        <w:spacing w:line="348" w:lineRule="auto"/>
        <w:ind w:firstLine="425"/>
        <w:rPr>
          <w:color w:val="auto"/>
        </w:rPr>
      </w:pPr>
      <w:r>
        <w:rPr>
          <w:color w:val="auto"/>
        </w:rPr>
        <w:t>Kock, N., &amp; Hadaya, P. (2018). Minimum sample size estimation in PLS-SEM: The inverse square root and gamma-exponential methods. Information Systems Journal, 28(1), 227–261.</w:t>
      </w:r>
    </w:p>
    <w:p w:rsidR="00764EB5" w:rsidRPr="00383EF8" w:rsidRDefault="00DF13CC" w:rsidP="00383EF8">
      <w:pPr>
        <w:spacing w:line="348" w:lineRule="auto"/>
        <w:ind w:firstLine="425"/>
        <w:rPr>
          <w:color w:val="auto"/>
          <w:spacing w:val="-4"/>
        </w:rPr>
      </w:pPr>
      <w:r w:rsidRPr="00383EF8">
        <w:rPr>
          <w:color w:val="auto"/>
          <w:spacing w:val="-4"/>
        </w:rPr>
        <w:t xml:space="preserve"> Koklič, M. K. (2011). The consumer’s perceived risk when buying a home: The role of subjective knowledge, perceived benefits of information search and information search behavior. Privredna Kretanja i Ekonomska Politika, 21(126), 27–50.</w:t>
      </w:r>
    </w:p>
    <w:p w:rsidR="00764EB5" w:rsidRDefault="00DF13CC" w:rsidP="00383EF8">
      <w:pPr>
        <w:spacing w:line="348" w:lineRule="auto"/>
        <w:ind w:firstLine="425"/>
        <w:rPr>
          <w:color w:val="auto"/>
        </w:rPr>
      </w:pPr>
      <w:r>
        <w:rPr>
          <w:color w:val="auto"/>
        </w:rPr>
        <w:t>Kotler, P., &amp; Keller, K. L. (2016). Marketing management (15th ed.). Pearson.</w:t>
      </w:r>
    </w:p>
    <w:p w:rsidR="00764EB5" w:rsidRDefault="00DF13CC" w:rsidP="00383EF8">
      <w:pPr>
        <w:spacing w:line="348" w:lineRule="auto"/>
        <w:ind w:firstLine="425"/>
        <w:rPr>
          <w:color w:val="auto"/>
        </w:rPr>
      </w:pPr>
      <w:r>
        <w:rPr>
          <w:color w:val="auto"/>
          <w:lang w:val="fr-FR"/>
        </w:rPr>
        <w:t xml:space="preserve">Le-Hoang, P. V., Ho, Y. T. T., Luu, D. X., &amp; Le, T. T. T. (2020). </w:t>
      </w:r>
      <w:r>
        <w:rPr>
          <w:color w:val="auto"/>
        </w:rPr>
        <w:t>Determinants of customer’s apartment purchase intention: Is the location dominant? Independent Journal of Management &amp; Production, 11(4), 1303–1322.</w:t>
      </w:r>
    </w:p>
    <w:p w:rsidR="00764EB5" w:rsidRDefault="00DF13CC" w:rsidP="00383EF8">
      <w:pPr>
        <w:spacing w:line="348" w:lineRule="auto"/>
        <w:ind w:firstLine="425"/>
        <w:rPr>
          <w:color w:val="auto"/>
        </w:rPr>
      </w:pPr>
      <w:r>
        <w:rPr>
          <w:color w:val="auto"/>
        </w:rPr>
        <w:lastRenderedPageBreak/>
        <w:t>Levy, D., Murphy, L., &amp; Lee, C. K. C. (2008). Influences and emotions: Exploring family decision-making processes when buying a house. Housing Studies, 23(2), 271–289. https://doi.org/10.1080/02673030801893164</w:t>
      </w:r>
    </w:p>
    <w:p w:rsidR="00764EB5" w:rsidRDefault="00DF13CC" w:rsidP="00383EF8">
      <w:pPr>
        <w:spacing w:line="348" w:lineRule="auto"/>
        <w:ind w:firstLine="425"/>
        <w:rPr>
          <w:color w:val="auto"/>
        </w:rPr>
      </w:pPr>
      <w:r>
        <w:rPr>
          <w:color w:val="auto"/>
        </w:rPr>
        <w:t xml:space="preserve"> Likert, R. (1932). A technique for the measurement of attitudes. Archives of Psychology, 140, 1–55.</w:t>
      </w:r>
    </w:p>
    <w:p w:rsidR="00764EB5" w:rsidRDefault="00DF13CC" w:rsidP="00383EF8">
      <w:pPr>
        <w:spacing w:line="348" w:lineRule="auto"/>
        <w:ind w:firstLine="425"/>
        <w:rPr>
          <w:color w:val="auto"/>
        </w:rPr>
      </w:pPr>
      <w:r>
        <w:rPr>
          <w:color w:val="auto"/>
        </w:rPr>
        <w:t>Liu, Y., &amp; Li, Z. (2018). Determinants of housing purchase decision: An empirical study of the high education cohort in urban China. Journal of Asian Architecture and Building Engineering, 17(2), 299–305. https://doi.org/10.3130/jaabe.17.299</w:t>
      </w:r>
    </w:p>
    <w:p w:rsidR="00764EB5" w:rsidRDefault="00DF13CC" w:rsidP="003D6B28">
      <w:pPr>
        <w:ind w:firstLine="426"/>
        <w:rPr>
          <w:color w:val="auto"/>
        </w:rPr>
      </w:pPr>
      <w:r>
        <w:rPr>
          <w:color w:val="auto"/>
        </w:rPr>
        <w:t>Malhotra, N. K. (2010). Marketing research: An applied orientation (6th ed.). Pearson.</w:t>
      </w:r>
    </w:p>
    <w:p w:rsidR="00764EB5" w:rsidRDefault="00DF13CC" w:rsidP="003D6B28">
      <w:pPr>
        <w:ind w:firstLine="426"/>
        <w:rPr>
          <w:color w:val="auto"/>
        </w:rPr>
      </w:pPr>
      <w:r>
        <w:rPr>
          <w:color w:val="auto"/>
        </w:rPr>
        <w:t xml:space="preserve"> Maoludyo, F. T., &amp; Aprianingsih, A. (2015). Factors influencing consumer buying intention for housing unit in Depok. Journal of Business and Management, 4(4), 484–493.</w:t>
      </w:r>
    </w:p>
    <w:p w:rsidR="00764EB5" w:rsidRDefault="00DF13CC" w:rsidP="003D6B28">
      <w:pPr>
        <w:ind w:firstLine="426"/>
        <w:rPr>
          <w:color w:val="auto"/>
        </w:rPr>
      </w:pPr>
      <w:r>
        <w:rPr>
          <w:color w:val="auto"/>
        </w:rPr>
        <w:t>Miles, M. B., Huberman, A. M., &amp; Saldaña, J. (2014). Qualitative data analysis: A methods sourcebook (3rd ed.). Sage.</w:t>
      </w:r>
    </w:p>
    <w:p w:rsidR="00764EB5" w:rsidRDefault="00DF13CC" w:rsidP="003D6B28">
      <w:pPr>
        <w:ind w:firstLine="426"/>
        <w:rPr>
          <w:color w:val="auto"/>
        </w:rPr>
      </w:pPr>
      <w:r>
        <w:rPr>
          <w:color w:val="auto"/>
        </w:rPr>
        <w:t>Numraktrakul, P., Ngarmyarn, A., &amp; Panichpathom, S. (2012). Factors affecting green housing purchase. Proceedings of the 17th International Business Research Conference, Toronto, Canada.</w:t>
      </w:r>
    </w:p>
    <w:p w:rsidR="00764EB5" w:rsidRDefault="00DF13CC" w:rsidP="003D6B28">
      <w:pPr>
        <w:ind w:firstLine="426"/>
        <w:rPr>
          <w:color w:val="auto"/>
        </w:rPr>
      </w:pPr>
      <w:r>
        <w:rPr>
          <w:color w:val="auto"/>
        </w:rPr>
        <w:t>Nunnally, J. C., &amp; Bernstein, I. H. (1994). Psychometric theory (3rd ed.). McGraw-Hill.</w:t>
      </w:r>
    </w:p>
    <w:p w:rsidR="00764EB5" w:rsidRDefault="00DF13CC" w:rsidP="003D6B28">
      <w:pPr>
        <w:ind w:firstLine="426"/>
        <w:rPr>
          <w:color w:val="auto"/>
        </w:rPr>
      </w:pPr>
      <w:r>
        <w:rPr>
          <w:color w:val="auto"/>
        </w:rPr>
        <w:t>Obeidat, M. S., Qasim, T., &amp; Khanfar, A. (2018). Implementing the AHP multi-criteria decision approach in buying an apartment in Jordan. Journal of Property Research, 35(1), 53–71. https://doi.org/10.1080/09599916.2017.1413588</w:t>
      </w:r>
    </w:p>
    <w:p w:rsidR="00764EB5" w:rsidRDefault="00DF13CC" w:rsidP="003D6B28">
      <w:pPr>
        <w:ind w:firstLine="426"/>
        <w:rPr>
          <w:color w:val="auto"/>
          <w:lang w:val="fr-FR"/>
        </w:rPr>
      </w:pPr>
      <w:r>
        <w:rPr>
          <w:color w:val="auto"/>
        </w:rPr>
        <w:t xml:space="preserve">Opoku, R. A., &amp; Abdul-Muhmin, A. G. (2010). Housing preferences and attribute importance among low-income consumers in Saudi Arabia. </w:t>
      </w:r>
      <w:r>
        <w:rPr>
          <w:color w:val="auto"/>
          <w:lang w:val="fr-FR"/>
        </w:rPr>
        <w:t>Habitat International, 34(2), 219–227. https://doi.org/10.1016/j.habitatint.2009.09.006</w:t>
      </w:r>
    </w:p>
    <w:p w:rsidR="00764EB5" w:rsidRDefault="00DF13CC" w:rsidP="003D6B28">
      <w:pPr>
        <w:ind w:firstLine="426"/>
        <w:rPr>
          <w:color w:val="auto"/>
        </w:rPr>
      </w:pPr>
      <w:r>
        <w:rPr>
          <w:color w:val="auto"/>
          <w:lang w:val="fr-FR"/>
        </w:rPr>
        <w:t xml:space="preserve"> Patton, M. Q. (2015). </w:t>
      </w:r>
      <w:r>
        <w:rPr>
          <w:color w:val="auto"/>
        </w:rPr>
        <w:t>Qualitative research &amp; evaluation methods (4th ed.). Sage.</w:t>
      </w:r>
    </w:p>
    <w:p w:rsidR="00764EB5" w:rsidRDefault="00DF13CC" w:rsidP="003D6B28">
      <w:pPr>
        <w:ind w:firstLine="426"/>
        <w:rPr>
          <w:color w:val="auto"/>
        </w:rPr>
      </w:pPr>
      <w:r>
        <w:rPr>
          <w:color w:val="auto"/>
        </w:rPr>
        <w:t xml:space="preserve"> Pham Dinh, H., Vo Thanh, H., &amp; Phan Thanh, H. (2022). Predicting consumers’ apartment purchase intention in Vietnam using an extended theory of </w:t>
      </w:r>
      <w:r>
        <w:rPr>
          <w:color w:val="auto"/>
        </w:rPr>
        <w:lastRenderedPageBreak/>
        <w:t>planned behavior. Innovative Marketing, 18(4), 201–214. https://doi.org/10.21511/im.18(4).2022.17</w:t>
      </w:r>
    </w:p>
    <w:p w:rsidR="00764EB5" w:rsidRDefault="00DF13CC" w:rsidP="003D6B28">
      <w:pPr>
        <w:ind w:firstLine="426"/>
        <w:rPr>
          <w:color w:val="auto"/>
        </w:rPr>
      </w:pPr>
      <w:r>
        <w:rPr>
          <w:color w:val="auto"/>
        </w:rPr>
        <w:t>Podsakoff, P. M., MacKenzie, S. B., &amp; Podsakoff, N. P. (2012). Sources of method bias in social science research and recommendations on how to control it. Annual Review of Psychology, 63, 539–569.</w:t>
      </w:r>
    </w:p>
    <w:p w:rsidR="00764EB5" w:rsidRDefault="00DF13CC" w:rsidP="003D6B28">
      <w:pPr>
        <w:ind w:firstLine="426"/>
        <w:rPr>
          <w:color w:val="auto"/>
        </w:rPr>
      </w:pPr>
      <w:r>
        <w:rPr>
          <w:color w:val="auto"/>
        </w:rPr>
        <w:t xml:space="preserve"> Podsakoff, P. M., MacKenzie, S. B., Lee, J.-Y., &amp; Podsakoff, N. P. (2003). Common method biases in behavioral research: A critical review of the literature and recommended remedies. Journal of Applied Psychology, 88(5), 879–903.</w:t>
      </w:r>
    </w:p>
    <w:p w:rsidR="00764EB5" w:rsidRDefault="00DF13CC" w:rsidP="003D6B28">
      <w:pPr>
        <w:ind w:firstLine="426"/>
        <w:rPr>
          <w:color w:val="auto"/>
        </w:rPr>
      </w:pPr>
      <w:r>
        <w:rPr>
          <w:color w:val="auto"/>
        </w:rPr>
        <w:t>Rachmawati, D., Shukri, S., Azam, S., &amp; Khatibi, A. (2019). Factors influencing customers’ purchase decision of residential property in Selangor, Malaysia. Management Science Letters, 9(9), 1341–1348.</w:t>
      </w:r>
    </w:p>
    <w:p w:rsidR="00764EB5" w:rsidRDefault="00DF13CC" w:rsidP="003D6B28">
      <w:pPr>
        <w:ind w:firstLine="426"/>
        <w:rPr>
          <w:color w:val="auto"/>
        </w:rPr>
      </w:pPr>
      <w:r>
        <w:rPr>
          <w:color w:val="auto"/>
        </w:rPr>
        <w:t xml:space="preserve"> Rahadi, R. A., Wiryono, S. K., Koesrindartoto, D. P., &amp; Syamwil, I. B. (2015). Comparison of the property practitioners and consumer preferences on housing prices in the Jakarta metropolitan region. International Journal of Housing Markets and Analysis, 8(3), 335–358. https://doi.org/10.1108/IJHMA-10-2014-0043</w:t>
      </w:r>
    </w:p>
    <w:p w:rsidR="00764EB5" w:rsidRDefault="00DF13CC" w:rsidP="003D6B28">
      <w:pPr>
        <w:ind w:firstLine="426"/>
        <w:rPr>
          <w:color w:val="auto"/>
        </w:rPr>
      </w:pPr>
      <w:r>
        <w:rPr>
          <w:color w:val="auto"/>
        </w:rPr>
        <w:t xml:space="preserve"> Renganathan, R., Srinivasakumar, V., &amp; Balachandran, S. (2015). Buyers’ attitude and preference towards flats/apartments. Research Journal of Applied Sciences, Engineering and Technology, 9(10), 813–818.</w:t>
      </w:r>
    </w:p>
    <w:p w:rsidR="00764EB5" w:rsidRDefault="00DF13CC" w:rsidP="003D6B28">
      <w:pPr>
        <w:ind w:firstLine="426"/>
        <w:rPr>
          <w:color w:val="auto"/>
        </w:rPr>
      </w:pPr>
      <w:r>
        <w:rPr>
          <w:color w:val="auto"/>
        </w:rPr>
        <w:t xml:space="preserve"> Sangkakoon, P., Ngarmyarn, A., &amp; Panichpathom, S. (2014). The influence of group references in home purchase intention in Thailand. Proceedings of the 21st Annual European Real Estate Society Conference, Bucharest.</w:t>
      </w:r>
    </w:p>
    <w:p w:rsidR="00764EB5" w:rsidRDefault="00DF13CC" w:rsidP="003D6B28">
      <w:pPr>
        <w:ind w:firstLine="426"/>
        <w:rPr>
          <w:color w:val="auto"/>
        </w:rPr>
      </w:pPr>
      <w:r>
        <w:rPr>
          <w:color w:val="auto"/>
        </w:rPr>
        <w:t>Sarstedt, M., Hair, J. F., Pick, M., Liengaard, B. D., Radomir, L., &amp; Ringle, C. M. (2022). Progress in partial least squares structural equation modeling use in marketing research in the last decade. Psychology &amp; Marketing, 39(5), 1035–1064. https://doi.org/10.1002/mar.21640</w:t>
      </w:r>
    </w:p>
    <w:p w:rsidR="00764EB5" w:rsidRDefault="00DF13CC" w:rsidP="003D6B28">
      <w:pPr>
        <w:ind w:firstLine="426"/>
        <w:rPr>
          <w:color w:val="auto"/>
        </w:rPr>
      </w:pPr>
      <w:r>
        <w:rPr>
          <w:color w:val="auto"/>
        </w:rPr>
        <w:t>Sarstedt, M., Ringle, C. M., &amp; Hair, J. F. (2022). Partial least squares structural equation modeling. In C. Homburg, M. Klarmann, &amp; A. Vomberg (Eds.), Handbook of market research (pp. 587–632). Springer. https://doi.org/10.1007/978-3-319-57413-4_15</w:t>
      </w:r>
    </w:p>
    <w:p w:rsidR="00764EB5" w:rsidRDefault="00DF13CC" w:rsidP="003D6B28">
      <w:pPr>
        <w:ind w:firstLine="426"/>
        <w:rPr>
          <w:color w:val="auto"/>
        </w:rPr>
      </w:pPr>
      <w:r>
        <w:rPr>
          <w:color w:val="auto"/>
        </w:rPr>
        <w:lastRenderedPageBreak/>
        <w:t xml:space="preserve"> Sbakhi, B. M. E. (2019). Applying theory of planned behaviour in predicting house purchase intention in Gaza Strip [PhD thesis, Universiti Sains Malaysia].</w:t>
      </w:r>
    </w:p>
    <w:p w:rsidR="00764EB5" w:rsidRDefault="00DF13CC" w:rsidP="003D6B28">
      <w:pPr>
        <w:ind w:firstLine="426"/>
        <w:rPr>
          <w:color w:val="auto"/>
        </w:rPr>
      </w:pPr>
      <w:r>
        <w:rPr>
          <w:color w:val="auto"/>
        </w:rPr>
        <w:t>Schiffman, L. G., &amp; Wisenblit, J. (2019). Consumer behavior (12th ed.). Pearson.</w:t>
      </w:r>
    </w:p>
    <w:p w:rsidR="00764EB5" w:rsidRDefault="00DF13CC" w:rsidP="003D6B28">
      <w:pPr>
        <w:ind w:firstLine="426"/>
        <w:rPr>
          <w:color w:val="auto"/>
        </w:rPr>
      </w:pPr>
      <w:r>
        <w:rPr>
          <w:color w:val="auto"/>
        </w:rPr>
        <w:t xml:space="preserve"> Sekaran, U., &amp; Bougie, R. (2016). Research methods for business: A skill-building approach (7th ed.). Wiley.</w:t>
      </w:r>
    </w:p>
    <w:p w:rsidR="00764EB5" w:rsidRDefault="00DF13CC" w:rsidP="003D6B28">
      <w:pPr>
        <w:ind w:firstLine="426"/>
        <w:rPr>
          <w:color w:val="auto"/>
        </w:rPr>
      </w:pPr>
      <w:r>
        <w:rPr>
          <w:color w:val="auto"/>
        </w:rPr>
        <w:t xml:space="preserve"> Seo, D., &amp; Kwon, Y. (2017). In-migration and housing choice in Ho Chi Minh City: Toward sustainable housing development in Vietnam. Sustainability, 9(10), 1738. https://doi.org/10.3390/su9101738</w:t>
      </w:r>
    </w:p>
    <w:p w:rsidR="00764EB5" w:rsidRDefault="00DF13CC" w:rsidP="003D6B28">
      <w:pPr>
        <w:ind w:firstLine="426"/>
        <w:rPr>
          <w:color w:val="auto"/>
        </w:rPr>
      </w:pPr>
      <w:r>
        <w:rPr>
          <w:color w:val="auto"/>
        </w:rPr>
        <w:t>Seo, D., Chung, Y. S., &amp; Kwon, Y. (2018). Price determinants of affordable apartments in Vietnam: Toward the public–private partnerships for sustainable housing development. Sustainability, 10(1), 197. https://doi.org/10.3390/su10010197</w:t>
      </w:r>
    </w:p>
    <w:p w:rsidR="00764EB5" w:rsidRDefault="00DF13CC" w:rsidP="003D6B28">
      <w:pPr>
        <w:ind w:firstLine="426"/>
        <w:rPr>
          <w:color w:val="auto"/>
        </w:rPr>
      </w:pPr>
      <w:r>
        <w:rPr>
          <w:color w:val="auto"/>
        </w:rPr>
        <w:t xml:space="preserve"> Sheth, J. N., Newman, B. I., &amp; Gross, B. L. (1991). Why we buy what we buy: A theory of consumption values. Journal of Business Research, 22(2), 159–170.</w:t>
      </w:r>
    </w:p>
    <w:p w:rsidR="00764EB5" w:rsidRDefault="00DF13CC" w:rsidP="003D6B28">
      <w:pPr>
        <w:ind w:firstLine="426"/>
        <w:rPr>
          <w:color w:val="auto"/>
        </w:rPr>
      </w:pPr>
      <w:r>
        <w:rPr>
          <w:color w:val="auto"/>
        </w:rPr>
        <w:t xml:space="preserve"> Shmueli, G., Sarstedt, M., Hair, J. F., Cheah, J.-H., Ting, H., Vaithilingam, S., &amp; Ringle, C. M. (2019). Predictive model assessment in PLS-SEM: Guidelines for using PLSpredict. European Journal of Marketing, 53(11), 2322–2347.</w:t>
      </w:r>
    </w:p>
    <w:p w:rsidR="00764EB5" w:rsidRDefault="00DF13CC" w:rsidP="003D6B28">
      <w:pPr>
        <w:ind w:firstLine="426"/>
        <w:rPr>
          <w:color w:val="auto"/>
        </w:rPr>
      </w:pPr>
      <w:r>
        <w:rPr>
          <w:color w:val="auto"/>
        </w:rPr>
        <w:t>Singh, N., Gupta, M., &amp; Dash, S. K. (2018). A study on impact of key factors affecting buying behaviour of residential apartments: A case study of Noida and Greater Noida. International Journal of Indian Culture and Business Management, 17(4), 403–416.</w:t>
      </w:r>
    </w:p>
    <w:p w:rsidR="00764EB5" w:rsidRDefault="00DF13CC" w:rsidP="003D6B28">
      <w:pPr>
        <w:ind w:firstLine="426"/>
        <w:rPr>
          <w:color w:val="auto"/>
        </w:rPr>
      </w:pPr>
      <w:r>
        <w:rPr>
          <w:color w:val="auto"/>
        </w:rPr>
        <w:t>Spence, M. (1973). Job market signaling. The Quarterly Journal of Economics, 87(3), 355–374.</w:t>
      </w:r>
    </w:p>
    <w:p w:rsidR="00764EB5" w:rsidRDefault="00DF13CC" w:rsidP="003D6B28">
      <w:pPr>
        <w:ind w:firstLine="426"/>
        <w:rPr>
          <w:color w:val="auto"/>
        </w:rPr>
      </w:pPr>
      <w:r>
        <w:rPr>
          <w:color w:val="auto"/>
        </w:rPr>
        <w:t>Sundrani, D. M. (2018). Factors influencing home-purchase decision of buyers of different types of apartments in India. International Journal of Housing Markets and Analysis, 11(4), 609–631. https://doi.org/10.1108/IJHMA-06-2017-0062</w:t>
      </w:r>
    </w:p>
    <w:p w:rsidR="00764EB5" w:rsidRDefault="00DF13CC" w:rsidP="003D6B28">
      <w:pPr>
        <w:ind w:firstLine="426"/>
        <w:rPr>
          <w:color w:val="auto"/>
        </w:rPr>
      </w:pPr>
      <w:r>
        <w:rPr>
          <w:color w:val="auto"/>
        </w:rPr>
        <w:t>Sweeney, J. C., &amp; Soutar, G. N. (2001). Consumer perceived value: The development of a multiple item scale. Journal of Retailing, 77(2), 203–220.</w:t>
      </w:r>
    </w:p>
    <w:p w:rsidR="00764EB5" w:rsidRDefault="00DF13CC" w:rsidP="003D6B28">
      <w:pPr>
        <w:ind w:firstLine="426"/>
        <w:rPr>
          <w:color w:val="auto"/>
        </w:rPr>
      </w:pPr>
      <w:r>
        <w:rPr>
          <w:color w:val="auto"/>
        </w:rPr>
        <w:lastRenderedPageBreak/>
        <w:t>Syukor, S., Musa, N., &amp; Tajudin, M. (2021). Factors influencing house purchase intention among PKNS housing fair visitors. Technology, 18, 58–67.</w:t>
      </w:r>
    </w:p>
    <w:p w:rsidR="00764EB5" w:rsidRDefault="00DF13CC" w:rsidP="003D6B28">
      <w:pPr>
        <w:ind w:firstLine="426"/>
        <w:rPr>
          <w:color w:val="auto"/>
        </w:rPr>
      </w:pPr>
      <w:r>
        <w:rPr>
          <w:color w:val="auto"/>
        </w:rPr>
        <w:t>Tabachnick, B. G., &amp; Fidell, L. S. (2019). Using multivariate statistics (7th ed.). Pearson.</w:t>
      </w:r>
    </w:p>
    <w:p w:rsidR="00764EB5" w:rsidRDefault="00DF13CC" w:rsidP="003D6B28">
      <w:pPr>
        <w:ind w:firstLine="426"/>
        <w:rPr>
          <w:color w:val="auto"/>
        </w:rPr>
      </w:pPr>
      <w:r>
        <w:rPr>
          <w:color w:val="auto"/>
        </w:rPr>
        <w:t>Tan, T.-H. (2012). Meeting first-time buyers’ housing needs and preferences in Greater Kuala Lumpur. Cities, 29(6), 389–396. https://doi.org/10.1016/j.cities.2011.11.016</w:t>
      </w:r>
    </w:p>
    <w:p w:rsidR="00764EB5" w:rsidRDefault="00DF13CC" w:rsidP="003D6B28">
      <w:pPr>
        <w:ind w:firstLine="426"/>
        <w:rPr>
          <w:color w:val="auto"/>
        </w:rPr>
      </w:pPr>
      <w:r>
        <w:rPr>
          <w:color w:val="auto"/>
        </w:rPr>
        <w:t>Tan, W. L., &amp; Goh, Y. N. (2018). The role of psychological factors in influencing consumer purchase intention towards green residential building. International Journal of Housing Markets and Analysis, 11(5), 788–807. https://doi.org/10.1108/IJHMA-11-2017-0097</w:t>
      </w:r>
    </w:p>
    <w:p w:rsidR="00764EB5" w:rsidRDefault="00DF13CC" w:rsidP="003D6B28">
      <w:pPr>
        <w:ind w:firstLine="426"/>
        <w:rPr>
          <w:color w:val="auto"/>
        </w:rPr>
      </w:pPr>
      <w:r>
        <w:rPr>
          <w:color w:val="auto"/>
        </w:rPr>
        <w:t xml:space="preserve"> UN-Habitat. (2014). Viet Nam housing sector profile. United Nations Human Settlements Programme.</w:t>
      </w:r>
    </w:p>
    <w:p w:rsidR="00764EB5" w:rsidRDefault="00DF13CC" w:rsidP="003D6B28">
      <w:pPr>
        <w:ind w:firstLine="426"/>
        <w:rPr>
          <w:color w:val="auto"/>
        </w:rPr>
      </w:pPr>
      <w:r>
        <w:rPr>
          <w:color w:val="auto"/>
        </w:rPr>
        <w:t>Wibawa, R. T., &amp; Hartoyo, S. H. (2017). Purchase intention of an apartment: An application of theory of planned behavior (TPB). International Journal of Science and Research, 6(10), 174–178.</w:t>
      </w:r>
    </w:p>
    <w:p w:rsidR="00764EB5" w:rsidRDefault="00DF13CC" w:rsidP="003D6B28">
      <w:pPr>
        <w:ind w:firstLine="426"/>
        <w:rPr>
          <w:color w:val="auto"/>
        </w:rPr>
      </w:pPr>
      <w:r>
        <w:rPr>
          <w:color w:val="auto"/>
        </w:rPr>
        <w:t>Wonggotwarin, T., &amp; Kim, S. (2017). The products’ factors affecting purchase intention: A case study of condominium in Bangkok, Thailand. AU-GSB E-Journals, 10(1), 214.</w:t>
      </w:r>
    </w:p>
    <w:p w:rsidR="00764EB5" w:rsidRDefault="00DF13CC" w:rsidP="003D6B28">
      <w:pPr>
        <w:ind w:firstLine="426"/>
        <w:rPr>
          <w:color w:val="auto"/>
        </w:rPr>
      </w:pPr>
      <w:r>
        <w:rPr>
          <w:color w:val="auto"/>
        </w:rPr>
        <w:t>Woodruff, R. B. (1997). Customer value: The next source for competitive advantage. Journal of the Academy of Marketing Science, 25, 139–153.</w:t>
      </w:r>
    </w:p>
    <w:p w:rsidR="00764EB5" w:rsidRDefault="00DF13CC" w:rsidP="003D6B28">
      <w:pPr>
        <w:ind w:firstLine="426"/>
        <w:rPr>
          <w:color w:val="auto"/>
        </w:rPr>
      </w:pPr>
      <w:r>
        <w:rPr>
          <w:color w:val="auto"/>
        </w:rPr>
        <w:t>World Bank. (2015). Vietnam affordable housing: A way forward (Report No. 100706). World Bank Group.</w:t>
      </w:r>
    </w:p>
    <w:p w:rsidR="00764EB5" w:rsidRDefault="00DF13CC" w:rsidP="003D6B28">
      <w:pPr>
        <w:ind w:firstLine="426"/>
        <w:rPr>
          <w:color w:val="auto"/>
        </w:rPr>
      </w:pPr>
      <w:r>
        <w:rPr>
          <w:color w:val="auto"/>
        </w:rPr>
        <w:t xml:space="preserve"> Yoke, C. C., Mun, Y. W., Peng, L. M., &amp; Yean, U. L. (2018). Purchase intention of residential property in Greater Kuala Lumpur, Malaysia. International Journal of Asian Social Science, 8(8), 580–590.</w:t>
      </w:r>
    </w:p>
    <w:p w:rsidR="00764EB5" w:rsidRDefault="00DF13CC" w:rsidP="003D6B28">
      <w:pPr>
        <w:ind w:firstLine="426"/>
        <w:rPr>
          <w:color w:val="auto"/>
        </w:rPr>
      </w:pPr>
      <w:r>
        <w:rPr>
          <w:color w:val="auto"/>
        </w:rPr>
        <w:t xml:space="preserve"> Zeithaml, V. A. (1988). Consumer perceptions of price, quality, and value: A means-end model and synthesis of evidence. Journal of Marketing, 52(3), 2–22.</w:t>
      </w:r>
    </w:p>
    <w:p w:rsidR="00764EB5" w:rsidRDefault="00DF13CC" w:rsidP="003D6B28">
      <w:pPr>
        <w:ind w:firstLine="426"/>
        <w:rPr>
          <w:color w:val="auto"/>
        </w:rPr>
      </w:pPr>
      <w:r>
        <w:rPr>
          <w:color w:val="auto"/>
        </w:rPr>
        <w:lastRenderedPageBreak/>
        <w:t xml:space="preserve"> Zhang, L., Chen, L., Wu, Z., Zhang, S., &amp; Song, H. (2018). Investigating young consumers’ purchasing intention of green housing in China. Sustainability, 10(4), 1044. https://doi.org/10.3390/su10041044</w:t>
      </w:r>
    </w:p>
    <w:p w:rsidR="00764EB5" w:rsidRDefault="00DF13CC" w:rsidP="003D6B28">
      <w:pPr>
        <w:ind w:firstLine="426"/>
        <w:rPr>
          <w:color w:val="auto"/>
        </w:rPr>
      </w:pPr>
      <w:r>
        <w:rPr>
          <w:color w:val="auto"/>
        </w:rPr>
        <w:t xml:space="preserve"> Zhang, Y., Wang, C., Tian, W., &amp; Zhang, G. (2020). Determinants of purchase intention for real estate developed on industrial brownfields: Evidence from China. Journal of Housing and the Built Environment, 35(4), 1261–1282.</w:t>
      </w:r>
    </w:p>
    <w:p w:rsidR="00764EB5" w:rsidRDefault="00DF13CC" w:rsidP="003D6B28">
      <w:pPr>
        <w:pStyle w:val="Heading1"/>
        <w:rPr>
          <w:rFonts w:ascii="Times New Roman" w:hAnsi="Times New Roman"/>
          <w:color w:val="auto"/>
        </w:rPr>
      </w:pPr>
      <w:bookmarkStart w:id="805" w:name="_Toc234224180"/>
      <w:r>
        <w:rPr>
          <w:rFonts w:ascii="Times New Roman" w:hAnsi="Times New Roman"/>
          <w:color w:val="auto"/>
        </w:rPr>
        <w:br w:type="page"/>
      </w:r>
    </w:p>
    <w:p w:rsidR="00764EB5" w:rsidRDefault="00DF13CC" w:rsidP="003D6B28">
      <w:pPr>
        <w:pStyle w:val="Heading1"/>
        <w:rPr>
          <w:color w:val="auto"/>
        </w:rPr>
      </w:pPr>
      <w:bookmarkStart w:id="806" w:name="_Toc241062533"/>
      <w:bookmarkStart w:id="807" w:name="_Toc241064474"/>
      <w:bookmarkStart w:id="808" w:name="_Toc241065407"/>
      <w:bookmarkStart w:id="809" w:name="_Toc241065625"/>
      <w:r>
        <w:rPr>
          <w:rFonts w:ascii="Times New Roman" w:hAnsi="Times New Roman"/>
          <w:color w:val="auto"/>
        </w:rPr>
        <w:lastRenderedPageBreak/>
        <w:t>PHỤ LỤC</w:t>
      </w:r>
      <w:bookmarkEnd w:id="805"/>
      <w:bookmarkEnd w:id="806"/>
      <w:bookmarkEnd w:id="807"/>
      <w:bookmarkEnd w:id="808"/>
      <w:bookmarkEnd w:id="809"/>
    </w:p>
    <w:p w:rsidR="00764EB5" w:rsidRDefault="00DF13CC" w:rsidP="003D6B28">
      <w:pPr>
        <w:ind w:firstLine="0"/>
        <w:jc w:val="center"/>
        <w:rPr>
          <w:b/>
          <w:bCs/>
          <w:color w:val="auto"/>
          <w:szCs w:val="28"/>
        </w:rPr>
      </w:pPr>
      <w:r>
        <w:rPr>
          <w:b/>
          <w:bCs/>
          <w:color w:val="auto"/>
          <w:szCs w:val="28"/>
        </w:rPr>
        <w:t>BẢNG KHẢO SÁT</w:t>
      </w:r>
    </w:p>
    <w:p w:rsidR="00764EB5" w:rsidRDefault="00DF13CC" w:rsidP="003D6B28">
      <w:pPr>
        <w:ind w:firstLine="0"/>
        <w:rPr>
          <w:b/>
          <w:bCs/>
          <w:color w:val="auto"/>
        </w:rPr>
      </w:pPr>
      <w:r>
        <w:rPr>
          <w:b/>
          <w:bCs/>
          <w:color w:val="auto"/>
        </w:rPr>
        <w:t>PHẦN GIỚI THIỆU</w:t>
      </w:r>
    </w:p>
    <w:p w:rsidR="00764EB5" w:rsidRDefault="00DF13CC" w:rsidP="003D6B28">
      <w:pPr>
        <w:ind w:firstLine="0"/>
        <w:rPr>
          <w:b/>
          <w:bCs/>
          <w:color w:val="auto"/>
        </w:rPr>
      </w:pPr>
      <w:r>
        <w:rPr>
          <w:color w:val="auto"/>
        </w:rPr>
        <w:t>PHẦN A: CÂU HỎI SÀNG LỌC</w:t>
      </w:r>
    </w:p>
    <w:p w:rsidR="00764EB5" w:rsidRDefault="00DF13CC" w:rsidP="003D6B28">
      <w:pPr>
        <w:ind w:firstLine="0"/>
        <w:rPr>
          <w:color w:val="auto"/>
          <w:szCs w:val="26"/>
        </w:rPr>
      </w:pPr>
      <w:r>
        <w:rPr>
          <w:b/>
          <w:bCs/>
          <w:color w:val="auto"/>
          <w:szCs w:val="26"/>
        </w:rPr>
        <w:t>A1. Anh/Chị hiện đang sinh sống hoặc làm việc tại vùng Đông Nam Bộ?</w:t>
      </w:r>
    </w:p>
    <w:p w:rsidR="00764EB5" w:rsidRDefault="00DF13CC" w:rsidP="003D6B28">
      <w:pPr>
        <w:numPr>
          <w:ilvl w:val="0"/>
          <w:numId w:val="11"/>
        </w:numPr>
        <w:rPr>
          <w:color w:val="auto"/>
          <w:szCs w:val="26"/>
        </w:rPr>
      </w:pPr>
      <w:r>
        <w:rPr>
          <w:color w:val="auto"/>
        </w:rPr>
        <w:t>Có</w:t>
      </w:r>
    </w:p>
    <w:p w:rsidR="00764EB5" w:rsidRDefault="00DF13CC" w:rsidP="003D6B28">
      <w:pPr>
        <w:numPr>
          <w:ilvl w:val="0"/>
          <w:numId w:val="11"/>
        </w:numPr>
        <w:rPr>
          <w:color w:val="auto"/>
          <w:szCs w:val="26"/>
        </w:rPr>
      </w:pPr>
      <w:r>
        <w:rPr>
          <w:color w:val="auto"/>
        </w:rPr>
        <w:t>Không (kết thúc khảo sát)</w:t>
      </w:r>
    </w:p>
    <w:p w:rsidR="00764EB5" w:rsidRDefault="00DF13CC" w:rsidP="003D6B28">
      <w:pPr>
        <w:ind w:firstLine="0"/>
        <w:rPr>
          <w:color w:val="auto"/>
          <w:szCs w:val="26"/>
        </w:rPr>
      </w:pPr>
      <w:r>
        <w:rPr>
          <w:b/>
          <w:bCs/>
          <w:color w:val="auto"/>
          <w:szCs w:val="26"/>
        </w:rPr>
        <w:t>A2. Địa bàn hiện nay của Anh/Chị thuộc:</w:t>
      </w:r>
    </w:p>
    <w:p w:rsidR="00764EB5" w:rsidRDefault="00DF13CC" w:rsidP="003D6B28">
      <w:pPr>
        <w:numPr>
          <w:ilvl w:val="0"/>
          <w:numId w:val="12"/>
        </w:numPr>
        <w:rPr>
          <w:color w:val="auto"/>
          <w:szCs w:val="26"/>
        </w:rPr>
      </w:pPr>
      <w:r>
        <w:rPr>
          <w:color w:val="auto"/>
        </w:rPr>
        <w:t>TP.HCM</w:t>
      </w:r>
    </w:p>
    <w:p w:rsidR="00764EB5" w:rsidRDefault="00DF13CC" w:rsidP="003D6B28">
      <w:pPr>
        <w:numPr>
          <w:ilvl w:val="0"/>
          <w:numId w:val="12"/>
        </w:numPr>
        <w:rPr>
          <w:color w:val="auto"/>
          <w:szCs w:val="26"/>
        </w:rPr>
      </w:pPr>
      <w:r>
        <w:rPr>
          <w:color w:val="auto"/>
        </w:rPr>
        <w:t>Đồng Nai</w:t>
      </w:r>
    </w:p>
    <w:p w:rsidR="00764EB5" w:rsidRDefault="00DF13CC" w:rsidP="003D6B28">
      <w:pPr>
        <w:numPr>
          <w:ilvl w:val="0"/>
          <w:numId w:val="12"/>
        </w:numPr>
        <w:rPr>
          <w:color w:val="auto"/>
          <w:szCs w:val="26"/>
        </w:rPr>
      </w:pPr>
      <w:r>
        <w:rPr>
          <w:color w:val="auto"/>
        </w:rPr>
        <w:t>Tây Ninh</w:t>
      </w:r>
    </w:p>
    <w:p w:rsidR="00764EB5" w:rsidRDefault="00DF13CC" w:rsidP="003D6B28">
      <w:pPr>
        <w:numPr>
          <w:ilvl w:val="0"/>
          <w:numId w:val="12"/>
        </w:numPr>
        <w:rPr>
          <w:color w:val="auto"/>
          <w:szCs w:val="26"/>
        </w:rPr>
      </w:pPr>
      <w:r>
        <w:rPr>
          <w:color w:val="auto"/>
        </w:rPr>
        <w:t>Khác (kết thúc khảo sát)</w:t>
      </w:r>
    </w:p>
    <w:p w:rsidR="00764EB5" w:rsidRDefault="00DF13CC" w:rsidP="003D6B28">
      <w:pPr>
        <w:ind w:firstLine="0"/>
        <w:rPr>
          <w:color w:val="auto"/>
          <w:szCs w:val="26"/>
        </w:rPr>
      </w:pPr>
      <w:r>
        <w:rPr>
          <w:b/>
          <w:bCs/>
          <w:color w:val="auto"/>
          <w:szCs w:val="26"/>
        </w:rPr>
        <w:t>A3. Anh/Chị đã từng hoặc đang có nhu cầu mua căn hộ chung cư tại Đông Nam Bộ?</w:t>
      </w:r>
    </w:p>
    <w:p w:rsidR="00764EB5" w:rsidRDefault="00DF13CC" w:rsidP="003D6B28">
      <w:pPr>
        <w:numPr>
          <w:ilvl w:val="0"/>
          <w:numId w:val="13"/>
        </w:numPr>
        <w:rPr>
          <w:color w:val="auto"/>
          <w:szCs w:val="26"/>
        </w:rPr>
      </w:pPr>
      <w:r>
        <w:rPr>
          <w:color w:val="auto"/>
        </w:rPr>
        <w:t>Đã từng</w:t>
      </w:r>
    </w:p>
    <w:p w:rsidR="00764EB5" w:rsidRDefault="00DF13CC" w:rsidP="003D6B28">
      <w:pPr>
        <w:numPr>
          <w:ilvl w:val="0"/>
          <w:numId w:val="13"/>
        </w:numPr>
        <w:rPr>
          <w:color w:val="auto"/>
          <w:szCs w:val="26"/>
        </w:rPr>
      </w:pPr>
      <w:r>
        <w:rPr>
          <w:color w:val="auto"/>
        </w:rPr>
        <w:t>Đang cân nhắc</w:t>
      </w:r>
    </w:p>
    <w:p w:rsidR="00764EB5" w:rsidRDefault="00DF13CC" w:rsidP="003D6B28">
      <w:pPr>
        <w:numPr>
          <w:ilvl w:val="0"/>
          <w:numId w:val="13"/>
        </w:numPr>
        <w:rPr>
          <w:color w:val="auto"/>
          <w:szCs w:val="26"/>
        </w:rPr>
      </w:pPr>
      <w:r>
        <w:rPr>
          <w:color w:val="auto"/>
        </w:rPr>
        <w:t>Có nhu cầu trong tương lai</w:t>
      </w:r>
    </w:p>
    <w:p w:rsidR="00764EB5" w:rsidRDefault="00DF13CC" w:rsidP="003D6B28">
      <w:pPr>
        <w:numPr>
          <w:ilvl w:val="0"/>
          <w:numId w:val="13"/>
        </w:numPr>
        <w:rPr>
          <w:color w:val="auto"/>
          <w:szCs w:val="26"/>
        </w:rPr>
      </w:pPr>
      <w:r>
        <w:rPr>
          <w:color w:val="auto"/>
        </w:rPr>
        <w:t>Chưa từng (kết thúc khảo sát)</w:t>
      </w:r>
    </w:p>
    <w:p w:rsidR="00764EB5" w:rsidRDefault="00DF13CC" w:rsidP="003D6B28">
      <w:pPr>
        <w:ind w:firstLine="0"/>
        <w:rPr>
          <w:color w:val="auto"/>
          <w:szCs w:val="26"/>
        </w:rPr>
      </w:pPr>
      <w:r>
        <w:rPr>
          <w:b/>
          <w:bCs/>
          <w:color w:val="auto"/>
          <w:szCs w:val="26"/>
        </w:rPr>
        <w:t>A4. Anh/Chị có tham gia vào quyết định mua căn hộ?</w:t>
      </w:r>
    </w:p>
    <w:p w:rsidR="00764EB5" w:rsidRDefault="00DF13CC" w:rsidP="003D6B28">
      <w:pPr>
        <w:numPr>
          <w:ilvl w:val="0"/>
          <w:numId w:val="14"/>
        </w:numPr>
        <w:rPr>
          <w:color w:val="auto"/>
          <w:szCs w:val="26"/>
        </w:rPr>
      </w:pPr>
      <w:r>
        <w:rPr>
          <w:color w:val="auto"/>
        </w:rPr>
        <w:t>Là người quyết định chính</w:t>
      </w:r>
    </w:p>
    <w:p w:rsidR="00764EB5" w:rsidRDefault="00DF13CC" w:rsidP="003D6B28">
      <w:pPr>
        <w:numPr>
          <w:ilvl w:val="0"/>
          <w:numId w:val="14"/>
        </w:numPr>
        <w:rPr>
          <w:color w:val="auto"/>
          <w:szCs w:val="26"/>
        </w:rPr>
      </w:pPr>
      <w:r>
        <w:rPr>
          <w:color w:val="auto"/>
        </w:rPr>
        <w:t>Có tham gia</w:t>
      </w:r>
    </w:p>
    <w:p w:rsidR="00764EB5" w:rsidRDefault="00DF13CC" w:rsidP="003D6B28">
      <w:pPr>
        <w:numPr>
          <w:ilvl w:val="0"/>
          <w:numId w:val="14"/>
        </w:numPr>
        <w:rPr>
          <w:color w:val="auto"/>
          <w:szCs w:val="26"/>
        </w:rPr>
      </w:pPr>
      <w:r>
        <w:rPr>
          <w:color w:val="auto"/>
        </w:rPr>
        <w:t>Không (kết thúc khảo sát)</w:t>
      </w:r>
    </w:p>
    <w:p w:rsidR="00764EB5" w:rsidRDefault="00764EB5" w:rsidP="003D6B28">
      <w:pPr>
        <w:ind w:firstLine="0"/>
        <w:rPr>
          <w:color w:val="auto"/>
        </w:rPr>
      </w:pPr>
    </w:p>
    <w:p w:rsidR="00764EB5" w:rsidRDefault="00DF13CC" w:rsidP="003D6B28">
      <w:pPr>
        <w:ind w:firstLine="0"/>
        <w:rPr>
          <w:b/>
          <w:bCs/>
          <w:color w:val="auto"/>
        </w:rPr>
      </w:pPr>
      <w:r>
        <w:rPr>
          <w:color w:val="auto"/>
        </w:rPr>
        <w:t>PHẦN B: THÔNG TIN CÁ NHÂN</w:t>
      </w:r>
    </w:p>
    <w:p w:rsidR="00764EB5" w:rsidRDefault="00DF13CC" w:rsidP="003D6B28">
      <w:pPr>
        <w:ind w:firstLine="0"/>
        <w:jc w:val="left"/>
        <w:rPr>
          <w:color w:val="auto"/>
          <w:szCs w:val="26"/>
        </w:rPr>
      </w:pPr>
      <w:r>
        <w:rPr>
          <w:color w:val="auto"/>
        </w:rPr>
        <w:t>B1. Giới tính:</w:t>
      </w:r>
    </w:p>
    <w:p w:rsidR="00764EB5" w:rsidRDefault="00DF13CC" w:rsidP="003D6B28">
      <w:pPr>
        <w:numPr>
          <w:ilvl w:val="0"/>
          <w:numId w:val="15"/>
        </w:numPr>
        <w:jc w:val="left"/>
        <w:rPr>
          <w:color w:val="auto"/>
          <w:szCs w:val="26"/>
        </w:rPr>
      </w:pPr>
      <w:r>
        <w:rPr>
          <w:color w:val="auto"/>
        </w:rPr>
        <w:t>Nam</w:t>
      </w:r>
    </w:p>
    <w:p w:rsidR="00764EB5" w:rsidRDefault="00DF13CC" w:rsidP="003D6B28">
      <w:pPr>
        <w:numPr>
          <w:ilvl w:val="0"/>
          <w:numId w:val="15"/>
        </w:numPr>
        <w:jc w:val="left"/>
        <w:rPr>
          <w:color w:val="auto"/>
          <w:szCs w:val="26"/>
        </w:rPr>
      </w:pPr>
      <w:r>
        <w:rPr>
          <w:color w:val="auto"/>
        </w:rPr>
        <w:t>Nữ</w:t>
      </w:r>
    </w:p>
    <w:p w:rsidR="00764EB5" w:rsidRDefault="00DF13CC" w:rsidP="003D6B28">
      <w:pPr>
        <w:numPr>
          <w:ilvl w:val="0"/>
          <w:numId w:val="15"/>
        </w:numPr>
        <w:jc w:val="left"/>
        <w:rPr>
          <w:color w:val="auto"/>
          <w:szCs w:val="26"/>
        </w:rPr>
      </w:pPr>
      <w:r>
        <w:rPr>
          <w:color w:val="auto"/>
          <w:szCs w:val="26"/>
        </w:rPr>
        <w:t>Khác</w:t>
      </w:r>
    </w:p>
    <w:p w:rsidR="00764EB5" w:rsidRDefault="00DF13CC" w:rsidP="003D6B28">
      <w:pPr>
        <w:ind w:firstLine="0"/>
        <w:jc w:val="left"/>
        <w:rPr>
          <w:color w:val="auto"/>
          <w:szCs w:val="26"/>
        </w:rPr>
      </w:pPr>
      <w:r>
        <w:rPr>
          <w:color w:val="auto"/>
        </w:rPr>
        <w:t>B2. Độ tuổi:</w:t>
      </w:r>
    </w:p>
    <w:p w:rsidR="00764EB5" w:rsidRDefault="00DF13CC" w:rsidP="003D6B28">
      <w:pPr>
        <w:numPr>
          <w:ilvl w:val="0"/>
          <w:numId w:val="15"/>
        </w:numPr>
        <w:jc w:val="left"/>
        <w:rPr>
          <w:color w:val="auto"/>
          <w:szCs w:val="26"/>
        </w:rPr>
      </w:pPr>
      <w:r>
        <w:rPr>
          <w:color w:val="auto"/>
        </w:rPr>
        <w:t>&lt;25</w:t>
      </w:r>
    </w:p>
    <w:p w:rsidR="00764EB5" w:rsidRDefault="00DF13CC" w:rsidP="003D6B28">
      <w:pPr>
        <w:numPr>
          <w:ilvl w:val="0"/>
          <w:numId w:val="15"/>
        </w:numPr>
        <w:jc w:val="left"/>
        <w:rPr>
          <w:color w:val="auto"/>
          <w:szCs w:val="26"/>
        </w:rPr>
      </w:pPr>
      <w:r>
        <w:rPr>
          <w:color w:val="auto"/>
        </w:rPr>
        <w:lastRenderedPageBreak/>
        <w:t>25–34</w:t>
      </w:r>
    </w:p>
    <w:p w:rsidR="00764EB5" w:rsidRDefault="00DF13CC" w:rsidP="003D6B28">
      <w:pPr>
        <w:numPr>
          <w:ilvl w:val="0"/>
          <w:numId w:val="15"/>
        </w:numPr>
        <w:jc w:val="left"/>
        <w:rPr>
          <w:color w:val="auto"/>
          <w:szCs w:val="26"/>
        </w:rPr>
      </w:pPr>
      <w:r>
        <w:rPr>
          <w:color w:val="auto"/>
        </w:rPr>
        <w:t>35–44</w:t>
      </w:r>
    </w:p>
    <w:p w:rsidR="00764EB5" w:rsidRDefault="00DF13CC" w:rsidP="003D6B28">
      <w:pPr>
        <w:numPr>
          <w:ilvl w:val="0"/>
          <w:numId w:val="15"/>
        </w:numPr>
        <w:jc w:val="left"/>
        <w:rPr>
          <w:color w:val="auto"/>
          <w:szCs w:val="26"/>
        </w:rPr>
      </w:pPr>
      <w:r>
        <w:rPr>
          <w:color w:val="auto"/>
        </w:rPr>
        <w:t>45–54</w:t>
      </w:r>
    </w:p>
    <w:p w:rsidR="00764EB5" w:rsidRDefault="00DF13CC" w:rsidP="003D6B28">
      <w:pPr>
        <w:numPr>
          <w:ilvl w:val="0"/>
          <w:numId w:val="15"/>
        </w:numPr>
        <w:jc w:val="left"/>
        <w:rPr>
          <w:color w:val="auto"/>
          <w:szCs w:val="26"/>
        </w:rPr>
      </w:pPr>
      <w:r>
        <w:rPr>
          <w:color w:val="auto"/>
          <w:szCs w:val="26"/>
        </w:rPr>
        <w:t>≥55</w:t>
      </w:r>
    </w:p>
    <w:p w:rsidR="00764EB5" w:rsidRDefault="00DF13CC" w:rsidP="003D6B28">
      <w:pPr>
        <w:ind w:firstLine="0"/>
        <w:jc w:val="left"/>
        <w:rPr>
          <w:color w:val="auto"/>
          <w:szCs w:val="26"/>
        </w:rPr>
      </w:pPr>
      <w:r>
        <w:rPr>
          <w:color w:val="auto"/>
        </w:rPr>
        <w:t>B3. Tình trạng hôn nhân:</w:t>
      </w:r>
    </w:p>
    <w:p w:rsidR="00764EB5" w:rsidRDefault="00DF13CC" w:rsidP="003D6B28">
      <w:pPr>
        <w:numPr>
          <w:ilvl w:val="0"/>
          <w:numId w:val="16"/>
        </w:numPr>
        <w:jc w:val="left"/>
        <w:rPr>
          <w:color w:val="auto"/>
          <w:szCs w:val="26"/>
        </w:rPr>
      </w:pPr>
      <w:r>
        <w:rPr>
          <w:color w:val="auto"/>
        </w:rPr>
        <w:t>Độc thân</w:t>
      </w:r>
    </w:p>
    <w:p w:rsidR="00764EB5" w:rsidRDefault="00DF13CC" w:rsidP="003D6B28">
      <w:pPr>
        <w:numPr>
          <w:ilvl w:val="0"/>
          <w:numId w:val="16"/>
        </w:numPr>
        <w:jc w:val="left"/>
        <w:rPr>
          <w:color w:val="auto"/>
          <w:szCs w:val="26"/>
        </w:rPr>
      </w:pPr>
      <w:r>
        <w:rPr>
          <w:color w:val="auto"/>
        </w:rPr>
        <w:t>Đã kết hôn</w:t>
      </w:r>
    </w:p>
    <w:p w:rsidR="00764EB5" w:rsidRDefault="00DF13CC" w:rsidP="003D6B28">
      <w:pPr>
        <w:numPr>
          <w:ilvl w:val="0"/>
          <w:numId w:val="16"/>
        </w:numPr>
        <w:jc w:val="left"/>
        <w:rPr>
          <w:color w:val="auto"/>
          <w:szCs w:val="26"/>
        </w:rPr>
      </w:pPr>
      <w:r>
        <w:rPr>
          <w:color w:val="auto"/>
          <w:szCs w:val="26"/>
        </w:rPr>
        <w:t>Khác</w:t>
      </w:r>
    </w:p>
    <w:p w:rsidR="00764EB5" w:rsidRDefault="00DF13CC" w:rsidP="003D6B28">
      <w:pPr>
        <w:ind w:firstLine="0"/>
        <w:jc w:val="left"/>
        <w:rPr>
          <w:color w:val="auto"/>
          <w:szCs w:val="26"/>
        </w:rPr>
      </w:pPr>
      <w:r>
        <w:rPr>
          <w:color w:val="auto"/>
        </w:rPr>
        <w:t>B4. Trình độ học vấn:</w:t>
      </w:r>
    </w:p>
    <w:p w:rsidR="00764EB5" w:rsidRDefault="00DF13CC" w:rsidP="003D6B28">
      <w:pPr>
        <w:numPr>
          <w:ilvl w:val="0"/>
          <w:numId w:val="17"/>
        </w:numPr>
        <w:jc w:val="left"/>
        <w:rPr>
          <w:color w:val="auto"/>
          <w:szCs w:val="26"/>
        </w:rPr>
      </w:pPr>
      <w:r>
        <w:rPr>
          <w:color w:val="auto"/>
          <w:szCs w:val="26"/>
        </w:rPr>
        <w:t>THPT</w:t>
      </w:r>
    </w:p>
    <w:p w:rsidR="00764EB5" w:rsidRDefault="00DF13CC" w:rsidP="003D6B28">
      <w:pPr>
        <w:numPr>
          <w:ilvl w:val="0"/>
          <w:numId w:val="17"/>
        </w:numPr>
        <w:jc w:val="left"/>
        <w:rPr>
          <w:color w:val="auto"/>
          <w:szCs w:val="26"/>
        </w:rPr>
      </w:pPr>
      <w:r>
        <w:rPr>
          <w:color w:val="auto"/>
          <w:szCs w:val="26"/>
        </w:rPr>
        <w:t>Cao đẳng/Trung cấp</w:t>
      </w:r>
    </w:p>
    <w:p w:rsidR="00764EB5" w:rsidRDefault="00DF13CC" w:rsidP="003D6B28">
      <w:pPr>
        <w:numPr>
          <w:ilvl w:val="0"/>
          <w:numId w:val="17"/>
        </w:numPr>
        <w:jc w:val="left"/>
        <w:rPr>
          <w:color w:val="auto"/>
          <w:szCs w:val="26"/>
        </w:rPr>
      </w:pPr>
      <w:r>
        <w:rPr>
          <w:color w:val="auto"/>
        </w:rPr>
        <w:t>Đại học</w:t>
      </w:r>
    </w:p>
    <w:p w:rsidR="00764EB5" w:rsidRDefault="00DF13CC" w:rsidP="003D6B28">
      <w:pPr>
        <w:numPr>
          <w:ilvl w:val="0"/>
          <w:numId w:val="17"/>
        </w:numPr>
        <w:jc w:val="left"/>
        <w:rPr>
          <w:color w:val="auto"/>
          <w:szCs w:val="26"/>
        </w:rPr>
      </w:pPr>
      <w:r>
        <w:rPr>
          <w:color w:val="auto"/>
          <w:szCs w:val="26"/>
        </w:rPr>
        <w:t>Sau đại học</w:t>
      </w:r>
    </w:p>
    <w:p w:rsidR="00764EB5" w:rsidRDefault="00DF13CC" w:rsidP="003D6B28">
      <w:pPr>
        <w:numPr>
          <w:ilvl w:val="0"/>
          <w:numId w:val="17"/>
        </w:numPr>
        <w:jc w:val="left"/>
        <w:rPr>
          <w:color w:val="auto"/>
          <w:szCs w:val="26"/>
        </w:rPr>
      </w:pPr>
      <w:r>
        <w:rPr>
          <w:color w:val="auto"/>
          <w:szCs w:val="26"/>
        </w:rPr>
        <w:t>Khác</w:t>
      </w:r>
    </w:p>
    <w:p w:rsidR="00764EB5" w:rsidRDefault="00DF13CC" w:rsidP="003D6B28">
      <w:pPr>
        <w:ind w:firstLine="0"/>
        <w:jc w:val="left"/>
        <w:rPr>
          <w:color w:val="auto"/>
          <w:szCs w:val="26"/>
        </w:rPr>
      </w:pPr>
      <w:r>
        <w:rPr>
          <w:color w:val="auto"/>
        </w:rPr>
        <w:t>B5. Nghề nghiệp:</w:t>
      </w:r>
    </w:p>
    <w:p w:rsidR="00764EB5" w:rsidRDefault="00DF13CC" w:rsidP="003D6B28">
      <w:pPr>
        <w:numPr>
          <w:ilvl w:val="0"/>
          <w:numId w:val="18"/>
        </w:numPr>
        <w:jc w:val="left"/>
        <w:rPr>
          <w:color w:val="auto"/>
          <w:szCs w:val="26"/>
        </w:rPr>
      </w:pPr>
      <w:r>
        <w:rPr>
          <w:color w:val="auto"/>
        </w:rPr>
        <w:t>Nhân viên</w:t>
      </w:r>
    </w:p>
    <w:p w:rsidR="00764EB5" w:rsidRDefault="00DF13CC" w:rsidP="003D6B28">
      <w:pPr>
        <w:numPr>
          <w:ilvl w:val="0"/>
          <w:numId w:val="18"/>
        </w:numPr>
        <w:jc w:val="left"/>
        <w:rPr>
          <w:color w:val="auto"/>
          <w:szCs w:val="26"/>
        </w:rPr>
      </w:pPr>
      <w:r>
        <w:rPr>
          <w:color w:val="auto"/>
        </w:rPr>
        <w:t>Kinh doanh</w:t>
      </w:r>
    </w:p>
    <w:p w:rsidR="00764EB5" w:rsidRDefault="00DF13CC" w:rsidP="003D6B28">
      <w:pPr>
        <w:numPr>
          <w:ilvl w:val="0"/>
          <w:numId w:val="18"/>
        </w:numPr>
        <w:jc w:val="left"/>
        <w:rPr>
          <w:color w:val="auto"/>
          <w:szCs w:val="26"/>
        </w:rPr>
      </w:pPr>
      <w:r>
        <w:rPr>
          <w:color w:val="auto"/>
        </w:rPr>
        <w:t>Quản lý</w:t>
      </w:r>
    </w:p>
    <w:p w:rsidR="00764EB5" w:rsidRDefault="00DF13CC" w:rsidP="003D6B28">
      <w:pPr>
        <w:numPr>
          <w:ilvl w:val="0"/>
          <w:numId w:val="18"/>
        </w:numPr>
        <w:jc w:val="left"/>
        <w:rPr>
          <w:color w:val="auto"/>
          <w:szCs w:val="26"/>
        </w:rPr>
      </w:pPr>
      <w:r>
        <w:rPr>
          <w:color w:val="auto"/>
        </w:rPr>
        <w:t>Công nhân</w:t>
      </w:r>
    </w:p>
    <w:p w:rsidR="00764EB5" w:rsidRDefault="00DF13CC" w:rsidP="003D6B28">
      <w:pPr>
        <w:numPr>
          <w:ilvl w:val="0"/>
          <w:numId w:val="18"/>
        </w:numPr>
        <w:jc w:val="left"/>
        <w:rPr>
          <w:color w:val="auto"/>
          <w:szCs w:val="26"/>
        </w:rPr>
      </w:pPr>
      <w:r>
        <w:rPr>
          <w:color w:val="auto"/>
          <w:szCs w:val="26"/>
        </w:rPr>
        <w:t>Khác</w:t>
      </w:r>
    </w:p>
    <w:p w:rsidR="00764EB5" w:rsidRDefault="00DF13CC" w:rsidP="003D6B28">
      <w:pPr>
        <w:ind w:firstLine="0"/>
        <w:jc w:val="left"/>
        <w:rPr>
          <w:color w:val="auto"/>
          <w:szCs w:val="26"/>
        </w:rPr>
      </w:pPr>
      <w:r>
        <w:rPr>
          <w:b/>
          <w:bCs/>
          <w:color w:val="auto"/>
          <w:szCs w:val="26"/>
        </w:rPr>
        <w:t>B6. Thu nhập hàng tháng:</w:t>
      </w:r>
    </w:p>
    <w:p w:rsidR="00764EB5" w:rsidRDefault="00DF13CC" w:rsidP="003D6B28">
      <w:pPr>
        <w:numPr>
          <w:ilvl w:val="0"/>
          <w:numId w:val="19"/>
        </w:numPr>
        <w:rPr>
          <w:color w:val="auto"/>
          <w:szCs w:val="26"/>
        </w:rPr>
      </w:pPr>
      <w:r>
        <w:rPr>
          <w:color w:val="auto"/>
        </w:rPr>
        <w:t>&lt;10 triệu</w:t>
      </w:r>
    </w:p>
    <w:p w:rsidR="00764EB5" w:rsidRDefault="00DF13CC" w:rsidP="003D6B28">
      <w:pPr>
        <w:numPr>
          <w:ilvl w:val="0"/>
          <w:numId w:val="19"/>
        </w:numPr>
        <w:rPr>
          <w:color w:val="auto"/>
          <w:szCs w:val="26"/>
        </w:rPr>
      </w:pPr>
      <w:r>
        <w:rPr>
          <w:color w:val="auto"/>
        </w:rPr>
        <w:t>10–20 triệu</w:t>
      </w:r>
    </w:p>
    <w:p w:rsidR="00764EB5" w:rsidRDefault="00DF13CC" w:rsidP="003D6B28">
      <w:pPr>
        <w:numPr>
          <w:ilvl w:val="0"/>
          <w:numId w:val="19"/>
        </w:numPr>
        <w:rPr>
          <w:color w:val="auto"/>
          <w:szCs w:val="26"/>
        </w:rPr>
      </w:pPr>
      <w:r>
        <w:rPr>
          <w:color w:val="auto"/>
        </w:rPr>
        <w:t>20–30 triệu</w:t>
      </w:r>
    </w:p>
    <w:p w:rsidR="00764EB5" w:rsidRDefault="00DF13CC" w:rsidP="003D6B28">
      <w:pPr>
        <w:numPr>
          <w:ilvl w:val="0"/>
          <w:numId w:val="19"/>
        </w:numPr>
        <w:rPr>
          <w:color w:val="auto"/>
          <w:szCs w:val="26"/>
        </w:rPr>
      </w:pPr>
      <w:r>
        <w:rPr>
          <w:color w:val="auto"/>
        </w:rPr>
        <w:t>30–50 triệu</w:t>
      </w:r>
    </w:p>
    <w:p w:rsidR="00764EB5" w:rsidRDefault="00DF13CC" w:rsidP="003D6B28">
      <w:pPr>
        <w:numPr>
          <w:ilvl w:val="0"/>
          <w:numId w:val="19"/>
        </w:numPr>
        <w:rPr>
          <w:color w:val="auto"/>
          <w:szCs w:val="26"/>
        </w:rPr>
      </w:pPr>
      <w:r>
        <w:rPr>
          <w:color w:val="auto"/>
          <w:szCs w:val="26"/>
        </w:rPr>
        <w:t>50 triệu</w:t>
      </w:r>
    </w:p>
    <w:p w:rsidR="00764EB5" w:rsidRDefault="00DF13CC" w:rsidP="003D6B28">
      <w:pPr>
        <w:ind w:firstLine="0"/>
        <w:rPr>
          <w:color w:val="auto"/>
          <w:szCs w:val="26"/>
        </w:rPr>
      </w:pPr>
      <w:r>
        <w:rPr>
          <w:b/>
          <w:bCs/>
          <w:color w:val="auto"/>
          <w:szCs w:val="26"/>
        </w:rPr>
        <w:t>B7. Hình thức cư trú hiện nay:</w:t>
      </w:r>
    </w:p>
    <w:p w:rsidR="00764EB5" w:rsidRDefault="00DF13CC" w:rsidP="003D6B28">
      <w:pPr>
        <w:numPr>
          <w:ilvl w:val="0"/>
          <w:numId w:val="20"/>
        </w:numPr>
        <w:rPr>
          <w:color w:val="auto"/>
          <w:szCs w:val="26"/>
        </w:rPr>
      </w:pPr>
      <w:r>
        <w:rPr>
          <w:color w:val="auto"/>
        </w:rPr>
        <w:t>Nhà riêng</w:t>
      </w:r>
    </w:p>
    <w:p w:rsidR="00764EB5" w:rsidRDefault="00DF13CC" w:rsidP="003D6B28">
      <w:pPr>
        <w:numPr>
          <w:ilvl w:val="0"/>
          <w:numId w:val="20"/>
        </w:numPr>
        <w:rPr>
          <w:color w:val="auto"/>
          <w:szCs w:val="26"/>
        </w:rPr>
      </w:pPr>
      <w:r>
        <w:rPr>
          <w:color w:val="auto"/>
        </w:rPr>
        <w:t>Ở cùng gia đình</w:t>
      </w:r>
    </w:p>
    <w:p w:rsidR="00764EB5" w:rsidRDefault="00DF13CC" w:rsidP="003D6B28">
      <w:pPr>
        <w:numPr>
          <w:ilvl w:val="0"/>
          <w:numId w:val="20"/>
        </w:numPr>
        <w:rPr>
          <w:color w:val="auto"/>
          <w:szCs w:val="26"/>
        </w:rPr>
      </w:pPr>
      <w:r>
        <w:rPr>
          <w:color w:val="auto"/>
        </w:rPr>
        <w:t>Thuê nhà/căn hộ</w:t>
      </w:r>
    </w:p>
    <w:p w:rsidR="00764EB5" w:rsidRDefault="00DF13CC" w:rsidP="003D6B28">
      <w:pPr>
        <w:numPr>
          <w:ilvl w:val="0"/>
          <w:numId w:val="20"/>
        </w:numPr>
        <w:rPr>
          <w:color w:val="auto"/>
          <w:szCs w:val="26"/>
        </w:rPr>
      </w:pPr>
      <w:r>
        <w:rPr>
          <w:color w:val="auto"/>
        </w:rPr>
        <w:lastRenderedPageBreak/>
        <w:t>Khác</w:t>
      </w:r>
    </w:p>
    <w:p w:rsidR="00764EB5" w:rsidRDefault="00DF13CC" w:rsidP="003D6B28">
      <w:pPr>
        <w:ind w:firstLine="0"/>
        <w:rPr>
          <w:color w:val="auto"/>
          <w:szCs w:val="26"/>
        </w:rPr>
      </w:pPr>
      <w:r>
        <w:rPr>
          <w:b/>
          <w:bCs/>
          <w:color w:val="auto"/>
          <w:szCs w:val="26"/>
        </w:rPr>
        <w:t>B8. Kinh nghiệm mua bất động sản:</w:t>
      </w:r>
    </w:p>
    <w:p w:rsidR="00764EB5" w:rsidRDefault="00DF13CC" w:rsidP="003D6B28">
      <w:pPr>
        <w:numPr>
          <w:ilvl w:val="0"/>
          <w:numId w:val="21"/>
        </w:numPr>
        <w:rPr>
          <w:color w:val="auto"/>
          <w:szCs w:val="26"/>
        </w:rPr>
      </w:pPr>
      <w:r>
        <w:rPr>
          <w:color w:val="auto"/>
        </w:rPr>
        <w:t>Chưa từng</w:t>
      </w:r>
    </w:p>
    <w:p w:rsidR="00764EB5" w:rsidRDefault="00DF13CC" w:rsidP="003D6B28">
      <w:pPr>
        <w:numPr>
          <w:ilvl w:val="0"/>
          <w:numId w:val="21"/>
        </w:numPr>
        <w:rPr>
          <w:color w:val="auto"/>
          <w:szCs w:val="26"/>
        </w:rPr>
      </w:pPr>
      <w:r>
        <w:rPr>
          <w:color w:val="auto"/>
        </w:rPr>
        <w:t>Đã tìm hiểu</w:t>
      </w:r>
    </w:p>
    <w:p w:rsidR="00764EB5" w:rsidRDefault="00DF13CC" w:rsidP="003D6B28">
      <w:pPr>
        <w:numPr>
          <w:ilvl w:val="0"/>
          <w:numId w:val="21"/>
        </w:numPr>
        <w:rPr>
          <w:color w:val="auto"/>
          <w:szCs w:val="26"/>
        </w:rPr>
      </w:pPr>
      <w:r>
        <w:rPr>
          <w:color w:val="auto"/>
        </w:rPr>
        <w:t>Đã mua 1 lần</w:t>
      </w:r>
    </w:p>
    <w:p w:rsidR="00764EB5" w:rsidRDefault="00DF13CC" w:rsidP="003D6B28">
      <w:pPr>
        <w:numPr>
          <w:ilvl w:val="0"/>
          <w:numId w:val="21"/>
        </w:numPr>
        <w:rPr>
          <w:color w:val="auto"/>
          <w:szCs w:val="26"/>
        </w:rPr>
      </w:pPr>
      <w:r>
        <w:rPr>
          <w:color w:val="auto"/>
        </w:rPr>
        <w:t>≥2 lần</w:t>
      </w:r>
    </w:p>
    <w:p w:rsidR="00764EB5" w:rsidRDefault="00DF13CC" w:rsidP="003D6B28">
      <w:pPr>
        <w:ind w:firstLine="0"/>
        <w:rPr>
          <w:color w:val="auto"/>
          <w:szCs w:val="26"/>
        </w:rPr>
      </w:pPr>
      <w:r>
        <w:rPr>
          <w:b/>
          <w:bCs/>
          <w:color w:val="auto"/>
          <w:szCs w:val="26"/>
        </w:rPr>
        <w:t>B9. Ngân sách dự kiến mua căn hộ:</w:t>
      </w:r>
    </w:p>
    <w:p w:rsidR="00764EB5" w:rsidRDefault="00DF13CC" w:rsidP="003D6B28">
      <w:pPr>
        <w:numPr>
          <w:ilvl w:val="0"/>
          <w:numId w:val="22"/>
        </w:numPr>
        <w:rPr>
          <w:color w:val="auto"/>
          <w:szCs w:val="26"/>
        </w:rPr>
      </w:pPr>
      <w:r>
        <w:rPr>
          <w:color w:val="auto"/>
        </w:rPr>
        <w:t>&lt;1.5 tỷ</w:t>
      </w:r>
    </w:p>
    <w:p w:rsidR="00764EB5" w:rsidRDefault="00DF13CC" w:rsidP="003D6B28">
      <w:pPr>
        <w:numPr>
          <w:ilvl w:val="0"/>
          <w:numId w:val="22"/>
        </w:numPr>
        <w:rPr>
          <w:color w:val="auto"/>
          <w:szCs w:val="26"/>
        </w:rPr>
      </w:pPr>
      <w:r>
        <w:rPr>
          <w:color w:val="auto"/>
        </w:rPr>
        <w:t>1.5–2.5 tỷ</w:t>
      </w:r>
    </w:p>
    <w:p w:rsidR="00764EB5" w:rsidRDefault="00DF13CC" w:rsidP="003D6B28">
      <w:pPr>
        <w:numPr>
          <w:ilvl w:val="0"/>
          <w:numId w:val="22"/>
        </w:numPr>
        <w:rPr>
          <w:color w:val="auto"/>
          <w:szCs w:val="26"/>
        </w:rPr>
      </w:pPr>
      <w:r>
        <w:rPr>
          <w:color w:val="auto"/>
        </w:rPr>
        <w:t>2.5–4 tỷ</w:t>
      </w:r>
    </w:p>
    <w:p w:rsidR="00764EB5" w:rsidRDefault="00DF13CC" w:rsidP="003D6B28">
      <w:pPr>
        <w:numPr>
          <w:ilvl w:val="0"/>
          <w:numId w:val="22"/>
        </w:numPr>
        <w:rPr>
          <w:color w:val="auto"/>
          <w:szCs w:val="26"/>
        </w:rPr>
      </w:pPr>
      <w:r>
        <w:rPr>
          <w:color w:val="auto"/>
        </w:rPr>
        <w:t>4–6 tỷ</w:t>
      </w:r>
    </w:p>
    <w:p w:rsidR="00764EB5" w:rsidRDefault="00DF13CC" w:rsidP="003D6B28">
      <w:pPr>
        <w:numPr>
          <w:ilvl w:val="0"/>
          <w:numId w:val="22"/>
        </w:numPr>
        <w:rPr>
          <w:color w:val="auto"/>
          <w:szCs w:val="26"/>
        </w:rPr>
      </w:pPr>
      <w:r>
        <w:rPr>
          <w:color w:val="auto"/>
          <w:szCs w:val="26"/>
        </w:rPr>
        <w:t>6 tỷ</w:t>
      </w:r>
    </w:p>
    <w:p w:rsidR="00764EB5" w:rsidRDefault="00DF13CC" w:rsidP="003D6B28">
      <w:pPr>
        <w:ind w:firstLine="0"/>
        <w:rPr>
          <w:color w:val="auto"/>
          <w:szCs w:val="26"/>
        </w:rPr>
      </w:pPr>
      <w:r>
        <w:rPr>
          <w:b/>
          <w:bCs/>
          <w:color w:val="auto"/>
          <w:szCs w:val="26"/>
        </w:rPr>
        <w:t>B10. Nguồn tài chính:</w:t>
      </w:r>
    </w:p>
    <w:p w:rsidR="00764EB5" w:rsidRDefault="00DF13CC" w:rsidP="003D6B28">
      <w:pPr>
        <w:numPr>
          <w:ilvl w:val="0"/>
          <w:numId w:val="23"/>
        </w:numPr>
        <w:rPr>
          <w:color w:val="auto"/>
          <w:szCs w:val="26"/>
        </w:rPr>
      </w:pPr>
      <w:r>
        <w:rPr>
          <w:color w:val="auto"/>
        </w:rPr>
        <w:t>Vốn tự có</w:t>
      </w:r>
    </w:p>
    <w:p w:rsidR="00764EB5" w:rsidRDefault="00DF13CC" w:rsidP="003D6B28">
      <w:pPr>
        <w:numPr>
          <w:ilvl w:val="0"/>
          <w:numId w:val="23"/>
        </w:numPr>
        <w:rPr>
          <w:color w:val="auto"/>
          <w:szCs w:val="26"/>
        </w:rPr>
      </w:pPr>
      <w:r>
        <w:rPr>
          <w:color w:val="auto"/>
        </w:rPr>
        <w:t>Vốn + vay</w:t>
      </w:r>
    </w:p>
    <w:p w:rsidR="00764EB5" w:rsidRDefault="00DF13CC" w:rsidP="003D6B28">
      <w:pPr>
        <w:numPr>
          <w:ilvl w:val="0"/>
          <w:numId w:val="23"/>
        </w:numPr>
        <w:rPr>
          <w:color w:val="auto"/>
          <w:szCs w:val="26"/>
        </w:rPr>
      </w:pPr>
      <w:r>
        <w:rPr>
          <w:color w:val="auto"/>
        </w:rPr>
        <w:t>Chủ yếu vay</w:t>
      </w:r>
    </w:p>
    <w:p w:rsidR="00764EB5" w:rsidRDefault="00DF13CC" w:rsidP="003D6B28">
      <w:pPr>
        <w:numPr>
          <w:ilvl w:val="0"/>
          <w:numId w:val="23"/>
        </w:numPr>
        <w:rPr>
          <w:color w:val="auto"/>
          <w:szCs w:val="26"/>
        </w:rPr>
      </w:pPr>
      <w:r>
        <w:rPr>
          <w:color w:val="auto"/>
        </w:rPr>
        <w:t>Hỗ trợ gia đình</w:t>
      </w:r>
    </w:p>
    <w:p w:rsidR="00764EB5" w:rsidRDefault="00DF13CC" w:rsidP="003D6B28">
      <w:pPr>
        <w:ind w:firstLine="0"/>
        <w:rPr>
          <w:b/>
          <w:bCs/>
          <w:color w:val="auto"/>
        </w:rPr>
      </w:pPr>
      <w:r>
        <w:rPr>
          <w:color w:val="auto"/>
        </w:rPr>
        <w:t>PHẦN C: NỘI DUNG KHẢO SÁT</w:t>
      </w:r>
    </w:p>
    <w:p w:rsidR="00764EB5" w:rsidRDefault="00DF13CC" w:rsidP="003D6B28">
      <w:pPr>
        <w:ind w:firstLine="0"/>
        <w:jc w:val="left"/>
        <w:rPr>
          <w:b/>
          <w:bCs/>
          <w:color w:val="auto"/>
          <w:szCs w:val="26"/>
        </w:rPr>
      </w:pPr>
      <w:r>
        <w:rPr>
          <w:b/>
          <w:bCs/>
          <w:color w:val="auto"/>
          <w:szCs w:val="26"/>
        </w:rPr>
        <w:t>Thang đo sử dụng:</w:t>
      </w:r>
    </w:p>
    <w:tbl>
      <w:tblPr>
        <w:tblW w:w="8840" w:type="dxa"/>
        <w:tblLayout w:type="fixed"/>
        <w:tblLook w:val="04A0" w:firstRow="1" w:lastRow="0" w:firstColumn="1" w:lastColumn="0" w:noHBand="0" w:noVBand="1"/>
      </w:tblPr>
      <w:tblGrid>
        <w:gridCol w:w="1768"/>
        <w:gridCol w:w="1771"/>
        <w:gridCol w:w="1768"/>
        <w:gridCol w:w="1766"/>
        <w:gridCol w:w="1767"/>
      </w:tblGrid>
      <w:tr w:rsidR="00764EB5">
        <w:tc>
          <w:tcPr>
            <w:tcW w:w="1768" w:type="dxa"/>
          </w:tcPr>
          <w:p w:rsidR="00764EB5" w:rsidRDefault="00DF13CC" w:rsidP="003D6B28">
            <w:pPr>
              <w:ind w:firstLine="0"/>
              <w:jc w:val="center"/>
              <w:rPr>
                <w:color w:val="auto"/>
                <w:szCs w:val="26"/>
              </w:rPr>
            </w:pPr>
            <w:r>
              <w:rPr>
                <w:b/>
                <w:bCs/>
                <w:color w:val="auto"/>
                <w:szCs w:val="26"/>
              </w:rPr>
              <w:t>1</w:t>
            </w:r>
          </w:p>
        </w:tc>
        <w:tc>
          <w:tcPr>
            <w:tcW w:w="1771" w:type="dxa"/>
          </w:tcPr>
          <w:p w:rsidR="00764EB5" w:rsidRDefault="00DF13CC" w:rsidP="003D6B28">
            <w:pPr>
              <w:ind w:firstLine="0"/>
              <w:jc w:val="center"/>
              <w:rPr>
                <w:color w:val="auto"/>
                <w:szCs w:val="26"/>
              </w:rPr>
            </w:pPr>
            <w:r>
              <w:rPr>
                <w:b/>
                <w:bCs/>
                <w:color w:val="auto"/>
                <w:szCs w:val="26"/>
              </w:rPr>
              <w:t>2</w:t>
            </w:r>
          </w:p>
        </w:tc>
        <w:tc>
          <w:tcPr>
            <w:tcW w:w="1768" w:type="dxa"/>
          </w:tcPr>
          <w:p w:rsidR="00764EB5" w:rsidRDefault="00DF13CC" w:rsidP="003D6B28">
            <w:pPr>
              <w:ind w:firstLine="0"/>
              <w:jc w:val="center"/>
              <w:rPr>
                <w:color w:val="auto"/>
                <w:szCs w:val="26"/>
              </w:rPr>
            </w:pPr>
            <w:r>
              <w:rPr>
                <w:b/>
                <w:bCs/>
                <w:color w:val="auto"/>
                <w:szCs w:val="26"/>
              </w:rPr>
              <w:t>3</w:t>
            </w:r>
          </w:p>
        </w:tc>
        <w:tc>
          <w:tcPr>
            <w:tcW w:w="1766" w:type="dxa"/>
          </w:tcPr>
          <w:p w:rsidR="00764EB5" w:rsidRDefault="00DF13CC" w:rsidP="003D6B28">
            <w:pPr>
              <w:ind w:firstLine="0"/>
              <w:jc w:val="center"/>
              <w:rPr>
                <w:color w:val="auto"/>
                <w:szCs w:val="26"/>
              </w:rPr>
            </w:pPr>
            <w:r>
              <w:rPr>
                <w:b/>
                <w:bCs/>
                <w:color w:val="auto"/>
                <w:szCs w:val="26"/>
              </w:rPr>
              <w:t>4</w:t>
            </w:r>
          </w:p>
        </w:tc>
        <w:tc>
          <w:tcPr>
            <w:tcW w:w="1767" w:type="dxa"/>
          </w:tcPr>
          <w:p w:rsidR="00764EB5" w:rsidRDefault="00DF13CC" w:rsidP="003D6B28">
            <w:pPr>
              <w:ind w:firstLine="0"/>
              <w:jc w:val="center"/>
              <w:rPr>
                <w:color w:val="auto"/>
                <w:szCs w:val="26"/>
              </w:rPr>
            </w:pPr>
            <w:r>
              <w:rPr>
                <w:b/>
                <w:bCs/>
                <w:color w:val="auto"/>
                <w:szCs w:val="26"/>
              </w:rPr>
              <w:t>5</w:t>
            </w:r>
          </w:p>
        </w:tc>
      </w:tr>
      <w:tr w:rsidR="00764EB5">
        <w:tc>
          <w:tcPr>
            <w:tcW w:w="1768" w:type="dxa"/>
          </w:tcPr>
          <w:p w:rsidR="00764EB5" w:rsidRDefault="00DF13CC" w:rsidP="003D6B28">
            <w:pPr>
              <w:ind w:firstLine="0"/>
              <w:jc w:val="center"/>
              <w:rPr>
                <w:i/>
                <w:iCs/>
                <w:color w:val="auto"/>
                <w:szCs w:val="26"/>
              </w:rPr>
            </w:pPr>
            <w:r>
              <w:rPr>
                <w:i/>
                <w:iCs/>
                <w:color w:val="auto"/>
                <w:szCs w:val="26"/>
              </w:rPr>
              <w:t>Hoàn toàn không đồng ý</w:t>
            </w:r>
          </w:p>
        </w:tc>
        <w:tc>
          <w:tcPr>
            <w:tcW w:w="1771" w:type="dxa"/>
          </w:tcPr>
          <w:p w:rsidR="00764EB5" w:rsidRDefault="00DF13CC" w:rsidP="003D6B28">
            <w:pPr>
              <w:ind w:firstLine="0"/>
              <w:jc w:val="center"/>
              <w:rPr>
                <w:i/>
                <w:iCs/>
                <w:color w:val="auto"/>
                <w:szCs w:val="26"/>
              </w:rPr>
            </w:pPr>
            <w:r>
              <w:rPr>
                <w:i/>
                <w:iCs/>
                <w:color w:val="auto"/>
                <w:szCs w:val="26"/>
              </w:rPr>
              <w:t>Không đồng ý</w:t>
            </w:r>
          </w:p>
        </w:tc>
        <w:tc>
          <w:tcPr>
            <w:tcW w:w="1768" w:type="dxa"/>
          </w:tcPr>
          <w:p w:rsidR="00764EB5" w:rsidRDefault="00DF13CC" w:rsidP="003D6B28">
            <w:pPr>
              <w:ind w:firstLine="0"/>
              <w:jc w:val="center"/>
              <w:rPr>
                <w:i/>
                <w:iCs/>
                <w:color w:val="auto"/>
                <w:szCs w:val="26"/>
              </w:rPr>
            </w:pPr>
            <w:r>
              <w:rPr>
                <w:i/>
                <w:iCs/>
                <w:color w:val="auto"/>
                <w:szCs w:val="26"/>
              </w:rPr>
              <w:t>Trung lập</w:t>
            </w:r>
          </w:p>
        </w:tc>
        <w:tc>
          <w:tcPr>
            <w:tcW w:w="1766" w:type="dxa"/>
          </w:tcPr>
          <w:p w:rsidR="00764EB5" w:rsidRDefault="00DF13CC" w:rsidP="003D6B28">
            <w:pPr>
              <w:ind w:firstLine="0"/>
              <w:jc w:val="center"/>
              <w:rPr>
                <w:i/>
                <w:iCs/>
                <w:color w:val="auto"/>
                <w:szCs w:val="26"/>
              </w:rPr>
            </w:pPr>
            <w:r>
              <w:rPr>
                <w:i/>
                <w:iCs/>
                <w:color w:val="auto"/>
                <w:szCs w:val="26"/>
              </w:rPr>
              <w:t>Đồng ý</w:t>
            </w:r>
          </w:p>
        </w:tc>
        <w:tc>
          <w:tcPr>
            <w:tcW w:w="1767" w:type="dxa"/>
          </w:tcPr>
          <w:p w:rsidR="00764EB5" w:rsidRDefault="00DF13CC" w:rsidP="003D6B28">
            <w:pPr>
              <w:ind w:firstLine="0"/>
              <w:jc w:val="center"/>
              <w:rPr>
                <w:i/>
                <w:iCs/>
                <w:color w:val="auto"/>
                <w:szCs w:val="26"/>
              </w:rPr>
            </w:pPr>
            <w:r>
              <w:rPr>
                <w:i/>
                <w:iCs/>
                <w:color w:val="auto"/>
                <w:szCs w:val="26"/>
              </w:rPr>
              <w:t>Hoàn toàn đồng ý</w:t>
            </w:r>
          </w:p>
        </w:tc>
      </w:tr>
    </w:tbl>
    <w:p w:rsidR="00764EB5" w:rsidRDefault="00DF13CC" w:rsidP="003D6B28">
      <w:pPr>
        <w:ind w:firstLine="0"/>
        <w:jc w:val="left"/>
        <w:rPr>
          <w:color w:val="auto"/>
          <w:szCs w:val="26"/>
        </w:rPr>
      </w:pPr>
      <w:r>
        <w:rPr>
          <w:color w:val="auto"/>
        </w:rPr>
        <w:t>Anh/Chị vui lòng lựa chọn quan điểm phù hợp với bản thân nhất.</w:t>
      </w:r>
    </w:p>
    <w:tbl>
      <w:tblPr>
        <w:tblW w:w="5000" w:type="pct"/>
        <w:tblLayout w:type="fixed"/>
        <w:tblLook w:val="04A0" w:firstRow="1" w:lastRow="0" w:firstColumn="1" w:lastColumn="0" w:noHBand="0" w:noVBand="1"/>
      </w:tblPr>
      <w:tblGrid>
        <w:gridCol w:w="6541"/>
        <w:gridCol w:w="492"/>
        <w:gridCol w:w="494"/>
        <w:gridCol w:w="493"/>
        <w:gridCol w:w="493"/>
        <w:gridCol w:w="490"/>
      </w:tblGrid>
      <w:tr w:rsidR="00764EB5">
        <w:tc>
          <w:tcPr>
            <w:tcW w:w="6426" w:type="dxa"/>
          </w:tcPr>
          <w:p w:rsidR="00764EB5" w:rsidRDefault="00DF13CC" w:rsidP="003D6B28">
            <w:pPr>
              <w:ind w:firstLine="0"/>
              <w:rPr>
                <w:b/>
                <w:bCs/>
                <w:color w:val="auto"/>
                <w:szCs w:val="26"/>
              </w:rPr>
            </w:pPr>
            <w:r>
              <w:rPr>
                <w:b/>
                <w:bCs/>
                <w:color w:val="auto"/>
                <w:szCs w:val="26"/>
              </w:rPr>
              <w:t>1. Thái độ (TD)</w:t>
            </w:r>
          </w:p>
        </w:tc>
        <w:tc>
          <w:tcPr>
            <w:tcW w:w="484" w:type="dxa"/>
          </w:tcPr>
          <w:p w:rsidR="00764EB5" w:rsidRDefault="00DF13CC" w:rsidP="003D6B28">
            <w:pPr>
              <w:ind w:firstLine="0"/>
              <w:jc w:val="center"/>
              <w:rPr>
                <w:b/>
                <w:bCs/>
                <w:color w:val="auto"/>
                <w:szCs w:val="26"/>
              </w:rPr>
            </w:pPr>
            <w:r>
              <w:rPr>
                <w:b/>
                <w:bCs/>
                <w:color w:val="auto"/>
                <w:szCs w:val="26"/>
              </w:rPr>
              <w:t>1</w:t>
            </w:r>
          </w:p>
        </w:tc>
        <w:tc>
          <w:tcPr>
            <w:tcW w:w="485" w:type="dxa"/>
          </w:tcPr>
          <w:p w:rsidR="00764EB5" w:rsidRDefault="00DF13CC" w:rsidP="003D6B28">
            <w:pPr>
              <w:ind w:firstLine="0"/>
              <w:jc w:val="center"/>
              <w:rPr>
                <w:b/>
                <w:bCs/>
                <w:color w:val="auto"/>
                <w:szCs w:val="26"/>
              </w:rPr>
            </w:pPr>
            <w:r>
              <w:rPr>
                <w:b/>
                <w:bCs/>
                <w:color w:val="auto"/>
                <w:szCs w:val="26"/>
              </w:rPr>
              <w:t>2</w:t>
            </w:r>
          </w:p>
        </w:tc>
        <w:tc>
          <w:tcPr>
            <w:tcW w:w="484" w:type="dxa"/>
          </w:tcPr>
          <w:p w:rsidR="00764EB5" w:rsidRDefault="00DF13CC" w:rsidP="003D6B28">
            <w:pPr>
              <w:ind w:firstLine="0"/>
              <w:jc w:val="center"/>
              <w:rPr>
                <w:b/>
                <w:bCs/>
                <w:color w:val="auto"/>
                <w:szCs w:val="26"/>
              </w:rPr>
            </w:pPr>
            <w:r>
              <w:rPr>
                <w:b/>
                <w:bCs/>
                <w:color w:val="auto"/>
                <w:szCs w:val="26"/>
              </w:rPr>
              <w:t>3</w:t>
            </w:r>
          </w:p>
        </w:tc>
        <w:tc>
          <w:tcPr>
            <w:tcW w:w="484" w:type="dxa"/>
          </w:tcPr>
          <w:p w:rsidR="00764EB5" w:rsidRDefault="00DF13CC" w:rsidP="003D6B28">
            <w:pPr>
              <w:ind w:firstLine="0"/>
              <w:jc w:val="center"/>
              <w:rPr>
                <w:b/>
                <w:bCs/>
                <w:color w:val="auto"/>
                <w:szCs w:val="26"/>
              </w:rPr>
            </w:pPr>
            <w:r>
              <w:rPr>
                <w:b/>
                <w:bCs/>
                <w:color w:val="auto"/>
                <w:szCs w:val="26"/>
              </w:rPr>
              <w:t>4</w:t>
            </w:r>
          </w:p>
        </w:tc>
        <w:tc>
          <w:tcPr>
            <w:tcW w:w="481" w:type="dxa"/>
          </w:tcPr>
          <w:p w:rsidR="00764EB5" w:rsidRDefault="00DF13CC" w:rsidP="003D6B28">
            <w:pPr>
              <w:ind w:firstLine="0"/>
              <w:jc w:val="center"/>
              <w:rPr>
                <w:b/>
                <w:bCs/>
                <w:color w:val="auto"/>
                <w:szCs w:val="26"/>
              </w:rPr>
            </w:pPr>
            <w:r>
              <w:rPr>
                <w:b/>
                <w:bCs/>
                <w:color w:val="auto"/>
                <w:szCs w:val="26"/>
              </w:rPr>
              <w:t>5</w:t>
            </w:r>
          </w:p>
        </w:tc>
      </w:tr>
      <w:tr w:rsidR="00764EB5">
        <w:tc>
          <w:tcPr>
            <w:tcW w:w="6426" w:type="dxa"/>
            <w:vAlign w:val="center"/>
          </w:tcPr>
          <w:p w:rsidR="00764EB5" w:rsidRDefault="00DF13CC" w:rsidP="003D6B28">
            <w:pPr>
              <w:ind w:left="284" w:firstLine="0"/>
              <w:rPr>
                <w:b/>
                <w:bCs/>
                <w:color w:val="auto"/>
                <w:szCs w:val="26"/>
              </w:rPr>
            </w:pPr>
            <w:r>
              <w:rPr>
                <w:color w:val="auto"/>
                <w:szCs w:val="26"/>
              </w:rPr>
              <w:t>Mua căn hộ chung cư là lựa chọn hợp lý</w:t>
            </w:r>
          </w:p>
        </w:tc>
        <w:tc>
          <w:tcPr>
            <w:tcW w:w="484" w:type="dxa"/>
          </w:tcPr>
          <w:p w:rsidR="00764EB5" w:rsidRDefault="00DF13CC" w:rsidP="003D6B28">
            <w:pPr>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D6B28">
            <w:pPr>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D6B28">
            <w:pPr>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D6B28">
            <w:pPr>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D6B28">
            <w:pPr>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D6B28">
            <w:pPr>
              <w:ind w:left="284" w:firstLine="0"/>
              <w:rPr>
                <w:b/>
                <w:bCs/>
                <w:color w:val="auto"/>
                <w:szCs w:val="26"/>
              </w:rPr>
            </w:pPr>
            <w:r>
              <w:rPr>
                <w:color w:val="auto"/>
                <w:szCs w:val="26"/>
              </w:rPr>
              <w:t>Mua căn hộ mang lại nhiều lợi ích</w:t>
            </w:r>
          </w:p>
        </w:tc>
        <w:tc>
          <w:tcPr>
            <w:tcW w:w="484"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1"/>
            </w:r>
          </w:p>
        </w:tc>
        <w:tc>
          <w:tcPr>
            <w:tcW w:w="485"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2"/>
            </w:r>
          </w:p>
        </w:tc>
        <w:tc>
          <w:tcPr>
            <w:tcW w:w="484"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3"/>
            </w:r>
          </w:p>
        </w:tc>
        <w:tc>
          <w:tcPr>
            <w:tcW w:w="484"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4"/>
            </w:r>
          </w:p>
        </w:tc>
        <w:tc>
          <w:tcPr>
            <w:tcW w:w="481"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D6B28">
            <w:pPr>
              <w:ind w:left="284" w:firstLine="0"/>
              <w:rPr>
                <w:b/>
                <w:bCs/>
                <w:color w:val="auto"/>
                <w:szCs w:val="26"/>
              </w:rPr>
            </w:pPr>
            <w:r>
              <w:rPr>
                <w:color w:val="auto"/>
                <w:szCs w:val="26"/>
              </w:rPr>
              <w:t>Đây là quyết định đáng giá</w:t>
            </w:r>
          </w:p>
        </w:tc>
        <w:tc>
          <w:tcPr>
            <w:tcW w:w="484"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1"/>
            </w:r>
          </w:p>
        </w:tc>
        <w:tc>
          <w:tcPr>
            <w:tcW w:w="485"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2"/>
            </w:r>
          </w:p>
        </w:tc>
        <w:tc>
          <w:tcPr>
            <w:tcW w:w="484"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3"/>
            </w:r>
          </w:p>
        </w:tc>
        <w:tc>
          <w:tcPr>
            <w:tcW w:w="484"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4"/>
            </w:r>
          </w:p>
        </w:tc>
        <w:tc>
          <w:tcPr>
            <w:tcW w:w="481"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D6B28">
            <w:pPr>
              <w:ind w:left="284" w:firstLine="0"/>
              <w:rPr>
                <w:b/>
                <w:bCs/>
                <w:color w:val="auto"/>
                <w:szCs w:val="26"/>
              </w:rPr>
            </w:pPr>
            <w:r>
              <w:rPr>
                <w:color w:val="auto"/>
                <w:szCs w:val="26"/>
              </w:rPr>
              <w:t>Tôi có cảm nhận tích cực về việc mua căn hộ</w:t>
            </w:r>
          </w:p>
        </w:tc>
        <w:tc>
          <w:tcPr>
            <w:tcW w:w="484"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1"/>
            </w:r>
          </w:p>
        </w:tc>
        <w:tc>
          <w:tcPr>
            <w:tcW w:w="485"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2"/>
            </w:r>
          </w:p>
        </w:tc>
        <w:tc>
          <w:tcPr>
            <w:tcW w:w="484"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3"/>
            </w:r>
          </w:p>
        </w:tc>
        <w:tc>
          <w:tcPr>
            <w:tcW w:w="484"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4"/>
            </w:r>
          </w:p>
        </w:tc>
        <w:tc>
          <w:tcPr>
            <w:tcW w:w="481"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D6B28">
            <w:pPr>
              <w:ind w:left="284" w:firstLine="0"/>
              <w:rPr>
                <w:b/>
                <w:bCs/>
                <w:color w:val="auto"/>
                <w:szCs w:val="26"/>
              </w:rPr>
            </w:pPr>
            <w:r>
              <w:rPr>
                <w:color w:val="auto"/>
                <w:szCs w:val="26"/>
              </w:rPr>
              <w:t>Mua căn hộ là quyết định đúng đắn</w:t>
            </w:r>
          </w:p>
        </w:tc>
        <w:tc>
          <w:tcPr>
            <w:tcW w:w="484"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1"/>
            </w:r>
          </w:p>
        </w:tc>
        <w:tc>
          <w:tcPr>
            <w:tcW w:w="485"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2"/>
            </w:r>
          </w:p>
        </w:tc>
        <w:tc>
          <w:tcPr>
            <w:tcW w:w="484"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3"/>
            </w:r>
          </w:p>
        </w:tc>
        <w:tc>
          <w:tcPr>
            <w:tcW w:w="484"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4"/>
            </w:r>
          </w:p>
        </w:tc>
        <w:tc>
          <w:tcPr>
            <w:tcW w:w="481" w:type="dxa"/>
          </w:tcPr>
          <w:p w:rsidR="00764EB5" w:rsidRDefault="00DF13CC" w:rsidP="003D6B28">
            <w:pPr>
              <w:ind w:firstLine="0"/>
              <w:jc w:val="center"/>
              <w:rPr>
                <w:b/>
                <w:bCs/>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383EF8" w:rsidRDefault="00383EF8" w:rsidP="003D6B28">
            <w:pPr>
              <w:ind w:firstLine="0"/>
              <w:rPr>
                <w:b/>
                <w:bCs/>
                <w:color w:val="auto"/>
                <w:szCs w:val="26"/>
              </w:rPr>
            </w:pPr>
          </w:p>
          <w:p w:rsidR="00764EB5" w:rsidRDefault="00DF13CC" w:rsidP="003D6B28">
            <w:pPr>
              <w:ind w:firstLine="0"/>
              <w:rPr>
                <w:b/>
                <w:bCs/>
                <w:color w:val="auto"/>
                <w:szCs w:val="26"/>
              </w:rPr>
            </w:pPr>
            <w:r>
              <w:rPr>
                <w:b/>
                <w:bCs/>
                <w:color w:val="auto"/>
                <w:szCs w:val="26"/>
              </w:rPr>
              <w:lastRenderedPageBreak/>
              <w:t>2. Chuẩn chủ quan (CCQ)</w:t>
            </w:r>
          </w:p>
        </w:tc>
        <w:tc>
          <w:tcPr>
            <w:tcW w:w="484" w:type="dxa"/>
          </w:tcPr>
          <w:p w:rsidR="00764EB5" w:rsidRDefault="00DF13CC" w:rsidP="003D6B28">
            <w:pPr>
              <w:ind w:firstLine="0"/>
              <w:jc w:val="center"/>
              <w:rPr>
                <w:b/>
                <w:bCs/>
                <w:color w:val="auto"/>
                <w:szCs w:val="26"/>
              </w:rPr>
            </w:pPr>
            <w:r>
              <w:rPr>
                <w:b/>
                <w:bCs/>
                <w:color w:val="auto"/>
                <w:szCs w:val="26"/>
              </w:rPr>
              <w:lastRenderedPageBreak/>
              <w:t>1</w:t>
            </w:r>
          </w:p>
        </w:tc>
        <w:tc>
          <w:tcPr>
            <w:tcW w:w="485" w:type="dxa"/>
          </w:tcPr>
          <w:p w:rsidR="00764EB5" w:rsidRDefault="00DF13CC" w:rsidP="003D6B28">
            <w:pPr>
              <w:ind w:firstLine="0"/>
              <w:jc w:val="center"/>
              <w:rPr>
                <w:b/>
                <w:bCs/>
                <w:color w:val="auto"/>
                <w:szCs w:val="26"/>
              </w:rPr>
            </w:pPr>
            <w:r>
              <w:rPr>
                <w:b/>
                <w:bCs/>
                <w:color w:val="auto"/>
                <w:szCs w:val="26"/>
              </w:rPr>
              <w:t>2</w:t>
            </w:r>
          </w:p>
        </w:tc>
        <w:tc>
          <w:tcPr>
            <w:tcW w:w="484" w:type="dxa"/>
          </w:tcPr>
          <w:p w:rsidR="00764EB5" w:rsidRDefault="00DF13CC" w:rsidP="003D6B28">
            <w:pPr>
              <w:ind w:firstLine="0"/>
              <w:jc w:val="center"/>
              <w:rPr>
                <w:b/>
                <w:bCs/>
                <w:color w:val="auto"/>
                <w:szCs w:val="26"/>
              </w:rPr>
            </w:pPr>
            <w:r>
              <w:rPr>
                <w:b/>
                <w:bCs/>
                <w:color w:val="auto"/>
                <w:szCs w:val="26"/>
              </w:rPr>
              <w:t>3</w:t>
            </w:r>
          </w:p>
        </w:tc>
        <w:tc>
          <w:tcPr>
            <w:tcW w:w="484" w:type="dxa"/>
          </w:tcPr>
          <w:p w:rsidR="00764EB5" w:rsidRDefault="00DF13CC" w:rsidP="003D6B28">
            <w:pPr>
              <w:ind w:firstLine="0"/>
              <w:jc w:val="center"/>
              <w:rPr>
                <w:b/>
                <w:bCs/>
                <w:color w:val="auto"/>
                <w:szCs w:val="26"/>
              </w:rPr>
            </w:pPr>
            <w:r>
              <w:rPr>
                <w:b/>
                <w:bCs/>
                <w:color w:val="auto"/>
                <w:szCs w:val="26"/>
              </w:rPr>
              <w:t>4</w:t>
            </w:r>
          </w:p>
        </w:tc>
        <w:tc>
          <w:tcPr>
            <w:tcW w:w="481" w:type="dxa"/>
          </w:tcPr>
          <w:p w:rsidR="00764EB5" w:rsidRDefault="00DF13CC" w:rsidP="003D6B28">
            <w:pPr>
              <w:ind w:firstLine="0"/>
              <w:jc w:val="center"/>
              <w:rPr>
                <w:b/>
                <w:bCs/>
                <w:color w:val="auto"/>
                <w:szCs w:val="26"/>
              </w:rPr>
            </w:pPr>
            <w:r>
              <w:rPr>
                <w:b/>
                <w:bCs/>
                <w:color w:val="auto"/>
                <w:szCs w:val="26"/>
              </w:rPr>
              <w:t>5</w:t>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lastRenderedPageBreak/>
              <w:t>Gia đình ủng hộ việc tôi mua căn hộ</w:t>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Bạn bè khuyến khích tôi mua</w:t>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Người quan trọng ảnh hưởng đến quyết định của tôi</w:t>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quan tâm đến ý kiến người thân</w:t>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Xu hướng xã hội ảnh hưởng đến tôi</w:t>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tham khảo ý kiến trước khi mua</w:t>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firstLine="0"/>
              <w:rPr>
                <w:b/>
                <w:bCs/>
                <w:color w:val="auto"/>
                <w:szCs w:val="26"/>
              </w:rPr>
            </w:pPr>
            <w:r>
              <w:rPr>
                <w:color w:val="auto"/>
              </w:rPr>
              <w:t>3. Nhận thức kiểm soát hành vi (NTHV)</w:t>
            </w:r>
          </w:p>
        </w:tc>
        <w:tc>
          <w:tcPr>
            <w:tcW w:w="484" w:type="dxa"/>
          </w:tcPr>
          <w:p w:rsidR="00764EB5" w:rsidRDefault="00DF13CC" w:rsidP="00383EF8">
            <w:pPr>
              <w:spacing w:line="336" w:lineRule="auto"/>
              <w:ind w:firstLine="0"/>
              <w:jc w:val="center"/>
              <w:rPr>
                <w:b/>
                <w:bCs/>
                <w:color w:val="auto"/>
                <w:szCs w:val="26"/>
              </w:rPr>
            </w:pPr>
            <w:r>
              <w:rPr>
                <w:b/>
                <w:bCs/>
                <w:color w:val="auto"/>
                <w:szCs w:val="26"/>
              </w:rPr>
              <w:t>1</w:t>
            </w:r>
          </w:p>
        </w:tc>
        <w:tc>
          <w:tcPr>
            <w:tcW w:w="485" w:type="dxa"/>
          </w:tcPr>
          <w:p w:rsidR="00764EB5" w:rsidRDefault="00DF13CC" w:rsidP="00383EF8">
            <w:pPr>
              <w:spacing w:line="336" w:lineRule="auto"/>
              <w:ind w:firstLine="0"/>
              <w:jc w:val="center"/>
              <w:rPr>
                <w:b/>
                <w:bCs/>
                <w:color w:val="auto"/>
                <w:szCs w:val="26"/>
              </w:rPr>
            </w:pPr>
            <w:r>
              <w:rPr>
                <w:b/>
                <w:bCs/>
                <w:color w:val="auto"/>
                <w:szCs w:val="26"/>
              </w:rPr>
              <w:t>2</w:t>
            </w:r>
          </w:p>
        </w:tc>
        <w:tc>
          <w:tcPr>
            <w:tcW w:w="484" w:type="dxa"/>
          </w:tcPr>
          <w:p w:rsidR="00764EB5" w:rsidRDefault="00DF13CC" w:rsidP="00383EF8">
            <w:pPr>
              <w:spacing w:line="336" w:lineRule="auto"/>
              <w:ind w:firstLine="0"/>
              <w:jc w:val="center"/>
              <w:rPr>
                <w:b/>
                <w:bCs/>
                <w:color w:val="auto"/>
                <w:szCs w:val="26"/>
              </w:rPr>
            </w:pPr>
            <w:r>
              <w:rPr>
                <w:b/>
                <w:bCs/>
                <w:color w:val="auto"/>
                <w:szCs w:val="26"/>
              </w:rPr>
              <w:t>3</w:t>
            </w:r>
          </w:p>
        </w:tc>
        <w:tc>
          <w:tcPr>
            <w:tcW w:w="484" w:type="dxa"/>
          </w:tcPr>
          <w:p w:rsidR="00764EB5" w:rsidRDefault="00DF13CC" w:rsidP="00383EF8">
            <w:pPr>
              <w:spacing w:line="336" w:lineRule="auto"/>
              <w:ind w:firstLine="0"/>
              <w:jc w:val="center"/>
              <w:rPr>
                <w:b/>
                <w:bCs/>
                <w:color w:val="auto"/>
                <w:szCs w:val="26"/>
              </w:rPr>
            </w:pPr>
            <w:r>
              <w:rPr>
                <w:b/>
                <w:bCs/>
                <w:color w:val="auto"/>
                <w:szCs w:val="26"/>
              </w:rPr>
              <w:t>4</w:t>
            </w:r>
          </w:p>
        </w:tc>
        <w:tc>
          <w:tcPr>
            <w:tcW w:w="481" w:type="dxa"/>
          </w:tcPr>
          <w:p w:rsidR="00764EB5" w:rsidRDefault="00DF13CC" w:rsidP="00383EF8">
            <w:pPr>
              <w:spacing w:line="336" w:lineRule="auto"/>
              <w:ind w:firstLine="0"/>
              <w:jc w:val="center"/>
              <w:rPr>
                <w:b/>
                <w:bCs/>
                <w:color w:val="auto"/>
                <w:szCs w:val="26"/>
              </w:rPr>
            </w:pPr>
            <w:r>
              <w:rPr>
                <w:b/>
                <w:bCs/>
                <w:color w:val="auto"/>
                <w:szCs w:val="26"/>
              </w:rPr>
              <w:t>5</w:t>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đủ khả năng tài chính</w:t>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b/>
                <w:bCs/>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dễ tiếp cận thông tin mua</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kiểm soát được việc mua căn hộ</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firstLine="0"/>
              <w:rPr>
                <w:b/>
                <w:bCs/>
                <w:color w:val="auto"/>
                <w:szCs w:val="26"/>
              </w:rPr>
            </w:pPr>
            <w:r>
              <w:rPr>
                <w:color w:val="auto"/>
              </w:rPr>
              <w:t>4. Giá trị cảm nhận căn hộ (GTCN)</w:t>
            </w:r>
          </w:p>
        </w:tc>
        <w:tc>
          <w:tcPr>
            <w:tcW w:w="484" w:type="dxa"/>
          </w:tcPr>
          <w:p w:rsidR="00764EB5" w:rsidRDefault="00DF13CC" w:rsidP="00383EF8">
            <w:pPr>
              <w:spacing w:line="336" w:lineRule="auto"/>
              <w:ind w:firstLine="0"/>
              <w:jc w:val="center"/>
              <w:rPr>
                <w:color w:val="auto"/>
                <w:szCs w:val="26"/>
              </w:rPr>
            </w:pPr>
            <w:r>
              <w:rPr>
                <w:b/>
                <w:bCs/>
                <w:color w:val="auto"/>
                <w:szCs w:val="26"/>
              </w:rPr>
              <w:t>1</w:t>
            </w:r>
          </w:p>
        </w:tc>
        <w:tc>
          <w:tcPr>
            <w:tcW w:w="485" w:type="dxa"/>
          </w:tcPr>
          <w:p w:rsidR="00764EB5" w:rsidRDefault="00DF13CC" w:rsidP="00383EF8">
            <w:pPr>
              <w:spacing w:line="336" w:lineRule="auto"/>
              <w:ind w:firstLine="0"/>
              <w:jc w:val="center"/>
              <w:rPr>
                <w:color w:val="auto"/>
                <w:szCs w:val="26"/>
              </w:rPr>
            </w:pPr>
            <w:r>
              <w:rPr>
                <w:b/>
                <w:bCs/>
                <w:color w:val="auto"/>
                <w:szCs w:val="26"/>
              </w:rPr>
              <w:t>2</w:t>
            </w:r>
          </w:p>
        </w:tc>
        <w:tc>
          <w:tcPr>
            <w:tcW w:w="484" w:type="dxa"/>
          </w:tcPr>
          <w:p w:rsidR="00764EB5" w:rsidRDefault="00DF13CC" w:rsidP="00383EF8">
            <w:pPr>
              <w:spacing w:line="336" w:lineRule="auto"/>
              <w:ind w:firstLine="0"/>
              <w:jc w:val="center"/>
              <w:rPr>
                <w:color w:val="auto"/>
                <w:szCs w:val="26"/>
              </w:rPr>
            </w:pPr>
            <w:r>
              <w:rPr>
                <w:b/>
                <w:bCs/>
                <w:color w:val="auto"/>
                <w:szCs w:val="26"/>
              </w:rPr>
              <w:t>3</w:t>
            </w:r>
          </w:p>
        </w:tc>
        <w:tc>
          <w:tcPr>
            <w:tcW w:w="484" w:type="dxa"/>
          </w:tcPr>
          <w:p w:rsidR="00764EB5" w:rsidRDefault="00DF13CC" w:rsidP="00383EF8">
            <w:pPr>
              <w:spacing w:line="336" w:lineRule="auto"/>
              <w:ind w:firstLine="0"/>
              <w:jc w:val="center"/>
              <w:rPr>
                <w:color w:val="auto"/>
                <w:szCs w:val="26"/>
              </w:rPr>
            </w:pPr>
            <w:r>
              <w:rPr>
                <w:b/>
                <w:bCs/>
                <w:color w:val="auto"/>
                <w:szCs w:val="26"/>
              </w:rPr>
              <w:t>4</w:t>
            </w:r>
          </w:p>
        </w:tc>
        <w:tc>
          <w:tcPr>
            <w:tcW w:w="481" w:type="dxa"/>
          </w:tcPr>
          <w:p w:rsidR="00764EB5" w:rsidRDefault="00DF13CC" w:rsidP="00383EF8">
            <w:pPr>
              <w:spacing w:line="336" w:lineRule="auto"/>
              <w:ind w:firstLine="0"/>
              <w:jc w:val="center"/>
              <w:rPr>
                <w:color w:val="auto"/>
                <w:szCs w:val="26"/>
              </w:rPr>
            </w:pPr>
            <w:r>
              <w:rPr>
                <w:b/>
                <w:bCs/>
                <w:color w:val="auto"/>
                <w:szCs w:val="26"/>
              </w:rPr>
              <w:t>5</w:t>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Vị trí căn hộ thuận tiện</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Pháp lý rõ ràng là yếu tố quan trọng</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Uy tín chủ đầu tư ảnh hưởng lớn</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Phong thủy phù hợp làm tăng giá trị căn hộ</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Tổng thể các yếu tố làm tôi đánh giá cao căn hộ</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firstLine="0"/>
              <w:rPr>
                <w:b/>
                <w:bCs/>
                <w:color w:val="auto"/>
                <w:szCs w:val="26"/>
              </w:rPr>
            </w:pPr>
            <w:r>
              <w:rPr>
                <w:color w:val="auto"/>
              </w:rPr>
              <w:t>5. Ý định mua (YDM)</w:t>
            </w:r>
          </w:p>
        </w:tc>
        <w:tc>
          <w:tcPr>
            <w:tcW w:w="484" w:type="dxa"/>
          </w:tcPr>
          <w:p w:rsidR="00764EB5" w:rsidRDefault="00DF13CC" w:rsidP="00383EF8">
            <w:pPr>
              <w:spacing w:line="336" w:lineRule="auto"/>
              <w:ind w:firstLine="0"/>
              <w:jc w:val="center"/>
              <w:rPr>
                <w:color w:val="auto"/>
                <w:szCs w:val="26"/>
              </w:rPr>
            </w:pPr>
            <w:r>
              <w:rPr>
                <w:b/>
                <w:bCs/>
                <w:color w:val="auto"/>
                <w:szCs w:val="26"/>
              </w:rPr>
              <w:t>1</w:t>
            </w:r>
          </w:p>
        </w:tc>
        <w:tc>
          <w:tcPr>
            <w:tcW w:w="485" w:type="dxa"/>
          </w:tcPr>
          <w:p w:rsidR="00764EB5" w:rsidRDefault="00DF13CC" w:rsidP="00383EF8">
            <w:pPr>
              <w:spacing w:line="336" w:lineRule="auto"/>
              <w:ind w:firstLine="0"/>
              <w:jc w:val="center"/>
              <w:rPr>
                <w:color w:val="auto"/>
                <w:szCs w:val="26"/>
              </w:rPr>
            </w:pPr>
            <w:r>
              <w:rPr>
                <w:b/>
                <w:bCs/>
                <w:color w:val="auto"/>
                <w:szCs w:val="26"/>
              </w:rPr>
              <w:t>2</w:t>
            </w:r>
          </w:p>
        </w:tc>
        <w:tc>
          <w:tcPr>
            <w:tcW w:w="484" w:type="dxa"/>
          </w:tcPr>
          <w:p w:rsidR="00764EB5" w:rsidRDefault="00DF13CC" w:rsidP="00383EF8">
            <w:pPr>
              <w:spacing w:line="336" w:lineRule="auto"/>
              <w:ind w:firstLine="0"/>
              <w:jc w:val="center"/>
              <w:rPr>
                <w:color w:val="auto"/>
                <w:szCs w:val="26"/>
              </w:rPr>
            </w:pPr>
            <w:r>
              <w:rPr>
                <w:b/>
                <w:bCs/>
                <w:color w:val="auto"/>
                <w:szCs w:val="26"/>
              </w:rPr>
              <w:t>3</w:t>
            </w:r>
          </w:p>
        </w:tc>
        <w:tc>
          <w:tcPr>
            <w:tcW w:w="484" w:type="dxa"/>
          </w:tcPr>
          <w:p w:rsidR="00764EB5" w:rsidRDefault="00DF13CC" w:rsidP="00383EF8">
            <w:pPr>
              <w:spacing w:line="336" w:lineRule="auto"/>
              <w:ind w:firstLine="0"/>
              <w:jc w:val="center"/>
              <w:rPr>
                <w:color w:val="auto"/>
                <w:szCs w:val="26"/>
              </w:rPr>
            </w:pPr>
            <w:r>
              <w:rPr>
                <w:b/>
                <w:bCs/>
                <w:color w:val="auto"/>
                <w:szCs w:val="26"/>
              </w:rPr>
              <w:t>4</w:t>
            </w:r>
          </w:p>
        </w:tc>
        <w:tc>
          <w:tcPr>
            <w:tcW w:w="481" w:type="dxa"/>
          </w:tcPr>
          <w:p w:rsidR="00764EB5" w:rsidRDefault="00DF13CC" w:rsidP="00383EF8">
            <w:pPr>
              <w:spacing w:line="336" w:lineRule="auto"/>
              <w:ind w:firstLine="0"/>
              <w:jc w:val="center"/>
              <w:rPr>
                <w:color w:val="auto"/>
                <w:szCs w:val="26"/>
              </w:rPr>
            </w:pPr>
            <w:r>
              <w:rPr>
                <w:b/>
                <w:bCs/>
                <w:color w:val="auto"/>
                <w:szCs w:val="26"/>
              </w:rPr>
              <w:t>5</w:t>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có ý định mua căn hộ</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đang cân nhắc nghiêm túc</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sẽ tìm hiểu thêm thông tin</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ưu tiên căn hộ hơn loại hình khác</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có kế hoạch tài chính</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sẽ mua khi có cơ hội</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firstLine="0"/>
              <w:rPr>
                <w:b/>
                <w:bCs/>
                <w:color w:val="auto"/>
                <w:szCs w:val="26"/>
              </w:rPr>
            </w:pPr>
            <w:r>
              <w:rPr>
                <w:color w:val="auto"/>
              </w:rPr>
              <w:t>6. Mức độ sẵn sàng ra quyết định mua (QDM)</w:t>
            </w:r>
          </w:p>
        </w:tc>
        <w:tc>
          <w:tcPr>
            <w:tcW w:w="484" w:type="dxa"/>
          </w:tcPr>
          <w:p w:rsidR="00764EB5" w:rsidRDefault="00DF13CC" w:rsidP="00383EF8">
            <w:pPr>
              <w:spacing w:line="336" w:lineRule="auto"/>
              <w:ind w:firstLine="0"/>
              <w:jc w:val="center"/>
              <w:rPr>
                <w:color w:val="auto"/>
                <w:szCs w:val="26"/>
              </w:rPr>
            </w:pPr>
            <w:r>
              <w:rPr>
                <w:b/>
                <w:bCs/>
                <w:color w:val="auto"/>
                <w:szCs w:val="26"/>
              </w:rPr>
              <w:t>1</w:t>
            </w:r>
          </w:p>
        </w:tc>
        <w:tc>
          <w:tcPr>
            <w:tcW w:w="485" w:type="dxa"/>
          </w:tcPr>
          <w:p w:rsidR="00764EB5" w:rsidRDefault="00DF13CC" w:rsidP="00383EF8">
            <w:pPr>
              <w:spacing w:line="336" w:lineRule="auto"/>
              <w:ind w:firstLine="0"/>
              <w:jc w:val="center"/>
              <w:rPr>
                <w:color w:val="auto"/>
                <w:szCs w:val="26"/>
              </w:rPr>
            </w:pPr>
            <w:r>
              <w:rPr>
                <w:b/>
                <w:bCs/>
                <w:color w:val="auto"/>
                <w:szCs w:val="26"/>
              </w:rPr>
              <w:t>2</w:t>
            </w:r>
          </w:p>
        </w:tc>
        <w:tc>
          <w:tcPr>
            <w:tcW w:w="484" w:type="dxa"/>
          </w:tcPr>
          <w:p w:rsidR="00764EB5" w:rsidRDefault="00DF13CC" w:rsidP="00383EF8">
            <w:pPr>
              <w:spacing w:line="336" w:lineRule="auto"/>
              <w:ind w:firstLine="0"/>
              <w:jc w:val="center"/>
              <w:rPr>
                <w:color w:val="auto"/>
                <w:szCs w:val="26"/>
              </w:rPr>
            </w:pPr>
            <w:r>
              <w:rPr>
                <w:b/>
                <w:bCs/>
                <w:color w:val="auto"/>
                <w:szCs w:val="26"/>
              </w:rPr>
              <w:t>3</w:t>
            </w:r>
          </w:p>
        </w:tc>
        <w:tc>
          <w:tcPr>
            <w:tcW w:w="484" w:type="dxa"/>
          </w:tcPr>
          <w:p w:rsidR="00764EB5" w:rsidRDefault="00DF13CC" w:rsidP="00383EF8">
            <w:pPr>
              <w:spacing w:line="336" w:lineRule="auto"/>
              <w:ind w:firstLine="0"/>
              <w:jc w:val="center"/>
              <w:rPr>
                <w:color w:val="auto"/>
                <w:szCs w:val="26"/>
              </w:rPr>
            </w:pPr>
            <w:r>
              <w:rPr>
                <w:b/>
                <w:bCs/>
                <w:color w:val="auto"/>
                <w:szCs w:val="26"/>
              </w:rPr>
              <w:t>4</w:t>
            </w:r>
          </w:p>
        </w:tc>
        <w:tc>
          <w:tcPr>
            <w:tcW w:w="481" w:type="dxa"/>
          </w:tcPr>
          <w:p w:rsidR="00764EB5" w:rsidRDefault="00DF13CC" w:rsidP="00383EF8">
            <w:pPr>
              <w:spacing w:line="336" w:lineRule="auto"/>
              <w:ind w:firstLine="0"/>
              <w:jc w:val="center"/>
              <w:rPr>
                <w:color w:val="auto"/>
                <w:szCs w:val="26"/>
              </w:rPr>
            </w:pPr>
            <w:r>
              <w:rPr>
                <w:b/>
                <w:bCs/>
                <w:color w:val="auto"/>
                <w:szCs w:val="26"/>
              </w:rPr>
              <w:t>5</w:t>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đã/ sẽ quyết định mua căn hộ</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sẵn sàng thực hiện thủ tục</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đã chọn dự án cụ thể</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sẽ tiến hành giao dịch</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Quyết định của tôi chắc chắn</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r w:rsidR="00764EB5">
        <w:tc>
          <w:tcPr>
            <w:tcW w:w="6426" w:type="dxa"/>
            <w:vAlign w:val="center"/>
          </w:tcPr>
          <w:p w:rsidR="00764EB5" w:rsidRDefault="00DF13CC" w:rsidP="00383EF8">
            <w:pPr>
              <w:spacing w:line="336" w:lineRule="auto"/>
              <w:ind w:left="284" w:firstLine="0"/>
              <w:rPr>
                <w:color w:val="auto"/>
                <w:szCs w:val="26"/>
              </w:rPr>
            </w:pPr>
            <w:r>
              <w:rPr>
                <w:color w:val="auto"/>
                <w:szCs w:val="26"/>
              </w:rPr>
              <w:t>Tôi ít thay đổi quyết định</w:t>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1"/>
            </w:r>
          </w:p>
        </w:tc>
        <w:tc>
          <w:tcPr>
            <w:tcW w:w="485"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2"/>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3"/>
            </w:r>
          </w:p>
        </w:tc>
        <w:tc>
          <w:tcPr>
            <w:tcW w:w="484"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4"/>
            </w:r>
          </w:p>
        </w:tc>
        <w:tc>
          <w:tcPr>
            <w:tcW w:w="481" w:type="dxa"/>
          </w:tcPr>
          <w:p w:rsidR="00764EB5" w:rsidRDefault="00DF13CC" w:rsidP="00383EF8">
            <w:pPr>
              <w:spacing w:line="336" w:lineRule="auto"/>
              <w:ind w:firstLine="0"/>
              <w:jc w:val="center"/>
              <w:rPr>
                <w:color w:val="auto"/>
                <w:szCs w:val="26"/>
              </w:rPr>
            </w:pPr>
            <w:r>
              <w:rPr>
                <w:rFonts w:ascii="Wingdings" w:eastAsia="Wingdings" w:hAnsi="Wingdings" w:cs="Wingdings"/>
                <w:color w:val="auto"/>
                <w:szCs w:val="26"/>
              </w:rPr>
              <w:sym w:font="Wingdings" w:char="F085"/>
            </w:r>
          </w:p>
        </w:tc>
      </w:tr>
    </w:tbl>
    <w:p w:rsidR="00764EB5" w:rsidRDefault="00DF13CC" w:rsidP="003D6B28">
      <w:pPr>
        <w:ind w:firstLine="0"/>
        <w:jc w:val="center"/>
        <w:rPr>
          <w:color w:val="auto"/>
        </w:rPr>
      </w:pPr>
      <w:r>
        <w:rPr>
          <w:color w:val="auto"/>
        </w:rPr>
        <w:t>Xin chân thành cảm ơn Anh/Chị đã tham gia khảo sát này!</w:t>
      </w:r>
    </w:p>
    <w:p w:rsidR="00764EB5" w:rsidRDefault="00DF13CC" w:rsidP="003D6B28">
      <w:pPr>
        <w:jc w:val="center"/>
        <w:rPr>
          <w:color w:val="auto"/>
        </w:rPr>
      </w:pPr>
      <w:r>
        <w:rPr>
          <w:b/>
          <w:color w:val="auto"/>
          <w:sz w:val="28"/>
        </w:rPr>
        <w:lastRenderedPageBreak/>
        <w:t>PHỤ LỤC BỔ SUNG THEO QUYẾT NGHỊ CỦA HỘI ĐỒNG</w:t>
      </w:r>
    </w:p>
    <w:p w:rsidR="00764EB5" w:rsidRDefault="00DF13CC" w:rsidP="003D6B28">
      <w:pPr>
        <w:rPr>
          <w:color w:val="auto"/>
        </w:rPr>
      </w:pPr>
      <w:r>
        <w:rPr>
          <w:b/>
          <w:color w:val="auto"/>
        </w:rPr>
        <w:t>Phụ lục A. Hướng dẫn phỏng vấn bán cấu trúc</w:t>
      </w:r>
    </w:p>
    <w:p w:rsidR="00764EB5" w:rsidRDefault="00DF13CC" w:rsidP="003D6B28">
      <w:pPr>
        <w:rPr>
          <w:color w:val="auto"/>
        </w:rPr>
      </w:pPr>
      <w:r>
        <w:rPr>
          <w:color w:val="auto"/>
        </w:rPr>
        <w:t>1. Các biến trong mô hình TPB mở rộng có phù hợp để giải thích Ý định mua và mức độ sẵn sàng ra quyết định mua căn hộ không?</w:t>
      </w:r>
    </w:p>
    <w:p w:rsidR="00764EB5" w:rsidRDefault="00DF13CC" w:rsidP="003D6B28">
      <w:pPr>
        <w:rPr>
          <w:color w:val="auto"/>
        </w:rPr>
      </w:pPr>
      <w:r>
        <w:rPr>
          <w:color w:val="auto"/>
        </w:rPr>
        <w:t>2. Nội hàm của Thái độ, Chuẩn chủ quan, Nhận thức kiểm soát hành vi, Giá trị cảm nhận, Ý định mua và QDM có điểm nào chưa rõ hoặc chồng lấn?</w:t>
      </w:r>
    </w:p>
    <w:p w:rsidR="00764EB5" w:rsidRDefault="00DF13CC" w:rsidP="003D6B28">
      <w:pPr>
        <w:rPr>
          <w:color w:val="auto"/>
        </w:rPr>
      </w:pPr>
      <w:r>
        <w:rPr>
          <w:color w:val="auto"/>
        </w:rPr>
        <w:t>3. Các phát biểu trong thang đo có dễ hiểu và phù hợp với người mua căn hộ tại vùng Đông Nam Bộ không?</w:t>
      </w:r>
    </w:p>
    <w:p w:rsidR="00764EB5" w:rsidRDefault="00DF13CC" w:rsidP="003D6B28">
      <w:pPr>
        <w:rPr>
          <w:color w:val="auto"/>
        </w:rPr>
      </w:pPr>
      <w:r>
        <w:rPr>
          <w:color w:val="auto"/>
        </w:rPr>
        <w:t>4. Các thuộc tính pháp lý, vị trí, tiện ích, uy tín chủ đầu tư, khả năng tài chính và phong thủy nên được phản ánh trong khái niệm nào?</w:t>
      </w:r>
    </w:p>
    <w:p w:rsidR="00764EB5" w:rsidRDefault="00DF13CC" w:rsidP="003D6B28">
      <w:pPr>
        <w:rPr>
          <w:color w:val="auto"/>
        </w:rPr>
      </w:pPr>
      <w:r>
        <w:rPr>
          <w:color w:val="auto"/>
        </w:rPr>
        <w:t>5. Cần giữ, sửa, bổ sung hoặc loại bỏ biến quan sát nào? Căn cứ của đề xuất là gì?</w:t>
      </w:r>
    </w:p>
    <w:p w:rsidR="00764EB5" w:rsidRDefault="00DF13CC">
      <w:pPr>
        <w:spacing w:after="120"/>
        <w:rPr>
          <w:color w:val="auto"/>
        </w:rPr>
      </w:pPr>
      <w:r>
        <w:rPr>
          <w:color w:val="auto"/>
        </w:rPr>
        <w:t>6. Có vấn đề thực tiễn nào của thị trường Đông Nam Bộ cần lưu ý khi diễn giải kết quả và xây dựng hàm ý?</w:t>
      </w:r>
    </w:p>
    <w:p w:rsidR="00764EB5" w:rsidRDefault="00DF13CC">
      <w:pPr>
        <w:spacing w:after="120"/>
        <w:rPr>
          <w:b/>
          <w:color w:val="auto"/>
        </w:rPr>
      </w:pPr>
      <w:r>
        <w:rPr>
          <w:b/>
          <w:color w:val="auto"/>
        </w:rPr>
        <w:br w:type="page"/>
      </w:r>
    </w:p>
    <w:p w:rsidR="00764EB5" w:rsidRDefault="00DF13CC">
      <w:pPr>
        <w:spacing w:after="120"/>
        <w:rPr>
          <w:color w:val="auto"/>
        </w:rPr>
      </w:pPr>
      <w:r>
        <w:rPr>
          <w:b/>
          <w:color w:val="auto"/>
        </w:rPr>
        <w:lastRenderedPageBreak/>
        <w:t>Phụ lục B. Khung tổng hợp kết quả nghiên cứu định tính</w:t>
      </w:r>
    </w:p>
    <w:tbl>
      <w:tblPr>
        <w:tblStyle w:val="TableGrid"/>
        <w:tblW w:w="8838" w:type="dxa"/>
        <w:tblLayout w:type="fixed"/>
        <w:tblLook w:val="04A0" w:firstRow="1" w:lastRow="0" w:firstColumn="1" w:lastColumn="0" w:noHBand="0" w:noVBand="1"/>
      </w:tblPr>
      <w:tblGrid>
        <w:gridCol w:w="2946"/>
        <w:gridCol w:w="2946"/>
        <w:gridCol w:w="2946"/>
      </w:tblGrid>
      <w:tr w:rsidR="00764EB5">
        <w:tc>
          <w:tcPr>
            <w:tcW w:w="2946" w:type="dxa"/>
          </w:tcPr>
          <w:p w:rsidR="00764EB5" w:rsidRDefault="00DF13CC">
            <w:pPr>
              <w:spacing w:after="120"/>
              <w:ind w:firstLine="0"/>
              <w:rPr>
                <w:color w:val="auto"/>
                <w:sz w:val="24"/>
                <w:szCs w:val="24"/>
              </w:rPr>
            </w:pPr>
            <w:r>
              <w:rPr>
                <w:b/>
                <w:color w:val="auto"/>
                <w:sz w:val="24"/>
                <w:szCs w:val="24"/>
              </w:rPr>
              <w:t>Chủ đề</w:t>
            </w:r>
          </w:p>
        </w:tc>
        <w:tc>
          <w:tcPr>
            <w:tcW w:w="2946" w:type="dxa"/>
          </w:tcPr>
          <w:p w:rsidR="00764EB5" w:rsidRDefault="00DF13CC">
            <w:pPr>
              <w:spacing w:after="120"/>
              <w:ind w:firstLine="0"/>
              <w:rPr>
                <w:color w:val="auto"/>
                <w:sz w:val="24"/>
                <w:szCs w:val="24"/>
              </w:rPr>
            </w:pPr>
            <w:r>
              <w:rPr>
                <w:b/>
                <w:color w:val="auto"/>
                <w:sz w:val="24"/>
                <w:szCs w:val="24"/>
              </w:rPr>
              <w:t>Ý kiến tổng hợp</w:t>
            </w:r>
          </w:p>
        </w:tc>
        <w:tc>
          <w:tcPr>
            <w:tcW w:w="2946" w:type="dxa"/>
          </w:tcPr>
          <w:p w:rsidR="00764EB5" w:rsidRDefault="00DF13CC">
            <w:pPr>
              <w:spacing w:after="120"/>
              <w:ind w:firstLine="0"/>
              <w:rPr>
                <w:color w:val="auto"/>
                <w:sz w:val="24"/>
                <w:szCs w:val="24"/>
              </w:rPr>
            </w:pPr>
            <w:r>
              <w:rPr>
                <w:b/>
                <w:color w:val="auto"/>
                <w:sz w:val="24"/>
                <w:szCs w:val="24"/>
              </w:rPr>
              <w:t>Cách tiếp thu trong luận án</w:t>
            </w:r>
          </w:p>
        </w:tc>
      </w:tr>
      <w:tr w:rsidR="00764EB5">
        <w:tc>
          <w:tcPr>
            <w:tcW w:w="2946" w:type="dxa"/>
          </w:tcPr>
          <w:p w:rsidR="00764EB5" w:rsidRDefault="00DF13CC">
            <w:pPr>
              <w:spacing w:after="120"/>
              <w:ind w:firstLine="0"/>
              <w:rPr>
                <w:color w:val="auto"/>
                <w:sz w:val="24"/>
                <w:szCs w:val="24"/>
              </w:rPr>
            </w:pPr>
            <w:r>
              <w:rPr>
                <w:color w:val="auto"/>
                <w:sz w:val="24"/>
                <w:szCs w:val="24"/>
              </w:rPr>
              <w:t>Tính phù hợp của mô hình</w:t>
            </w:r>
          </w:p>
        </w:tc>
        <w:tc>
          <w:tcPr>
            <w:tcW w:w="2946" w:type="dxa"/>
          </w:tcPr>
          <w:p w:rsidR="00764EB5" w:rsidRDefault="00DF13CC">
            <w:pPr>
              <w:spacing w:after="120"/>
              <w:ind w:firstLine="0"/>
              <w:rPr>
                <w:color w:val="auto"/>
                <w:sz w:val="24"/>
                <w:szCs w:val="24"/>
              </w:rPr>
            </w:pPr>
            <w:r>
              <w:rPr>
                <w:color w:val="auto"/>
                <w:sz w:val="24"/>
                <w:szCs w:val="24"/>
              </w:rPr>
              <w:t>TPB là khung chính; GTCN bổ sung góc nhìn về đánh giá sản phẩm.</w:t>
            </w:r>
          </w:p>
        </w:tc>
        <w:tc>
          <w:tcPr>
            <w:tcW w:w="2946" w:type="dxa"/>
          </w:tcPr>
          <w:p w:rsidR="00764EB5" w:rsidRDefault="00DF13CC">
            <w:pPr>
              <w:spacing w:after="120"/>
              <w:ind w:firstLine="0"/>
              <w:rPr>
                <w:color w:val="auto"/>
                <w:sz w:val="24"/>
                <w:szCs w:val="24"/>
              </w:rPr>
            </w:pPr>
            <w:r>
              <w:rPr>
                <w:color w:val="auto"/>
                <w:sz w:val="24"/>
                <w:szCs w:val="24"/>
              </w:rPr>
              <w:t>Giữ cấu trúc mô hình; giới hạn đóng góp ở mức kiểm định theo bối cảnh.</w:t>
            </w:r>
          </w:p>
        </w:tc>
      </w:tr>
      <w:tr w:rsidR="00764EB5">
        <w:tc>
          <w:tcPr>
            <w:tcW w:w="2946" w:type="dxa"/>
          </w:tcPr>
          <w:p w:rsidR="00764EB5" w:rsidRDefault="00DF13CC">
            <w:pPr>
              <w:spacing w:after="120"/>
              <w:ind w:firstLine="0"/>
              <w:rPr>
                <w:color w:val="auto"/>
                <w:sz w:val="24"/>
                <w:szCs w:val="24"/>
              </w:rPr>
            </w:pPr>
            <w:r>
              <w:rPr>
                <w:color w:val="auto"/>
                <w:sz w:val="24"/>
                <w:szCs w:val="24"/>
              </w:rPr>
              <w:t>Pháp lý, vị trí, uy tín, phong thủy</w:t>
            </w:r>
          </w:p>
        </w:tc>
        <w:tc>
          <w:tcPr>
            <w:tcW w:w="2946" w:type="dxa"/>
          </w:tcPr>
          <w:p w:rsidR="00764EB5" w:rsidRDefault="00DF13CC">
            <w:pPr>
              <w:spacing w:after="120"/>
              <w:ind w:firstLine="0"/>
              <w:rPr>
                <w:color w:val="auto"/>
                <w:sz w:val="24"/>
                <w:szCs w:val="24"/>
              </w:rPr>
            </w:pPr>
            <w:r>
              <w:rPr>
                <w:color w:val="auto"/>
                <w:sz w:val="24"/>
                <w:szCs w:val="24"/>
              </w:rPr>
              <w:t>Là thuộc tính quan trọng nhưng không có thang đo độc lập trong mô hình.</w:t>
            </w:r>
          </w:p>
        </w:tc>
        <w:tc>
          <w:tcPr>
            <w:tcW w:w="2946" w:type="dxa"/>
          </w:tcPr>
          <w:p w:rsidR="00764EB5" w:rsidRDefault="00DF13CC">
            <w:pPr>
              <w:spacing w:after="120"/>
              <w:ind w:firstLine="0"/>
              <w:rPr>
                <w:color w:val="auto"/>
                <w:sz w:val="24"/>
                <w:szCs w:val="24"/>
              </w:rPr>
            </w:pPr>
            <w:r>
              <w:rPr>
                <w:color w:val="auto"/>
                <w:sz w:val="24"/>
                <w:szCs w:val="24"/>
              </w:rPr>
              <w:t>Trình bày như nội hàm của GTCN hoặc TD; không kết luận tác động riêng.</w:t>
            </w:r>
          </w:p>
        </w:tc>
      </w:tr>
      <w:tr w:rsidR="00764EB5">
        <w:tc>
          <w:tcPr>
            <w:tcW w:w="2946" w:type="dxa"/>
          </w:tcPr>
          <w:p w:rsidR="00764EB5" w:rsidRDefault="00DF13CC">
            <w:pPr>
              <w:spacing w:after="120"/>
              <w:ind w:firstLine="0"/>
              <w:rPr>
                <w:color w:val="auto"/>
                <w:sz w:val="24"/>
                <w:szCs w:val="24"/>
              </w:rPr>
            </w:pPr>
            <w:r>
              <w:rPr>
                <w:color w:val="auto"/>
                <w:sz w:val="24"/>
                <w:szCs w:val="24"/>
              </w:rPr>
              <w:t>Phân biệt YDM và QDM</w:t>
            </w:r>
          </w:p>
        </w:tc>
        <w:tc>
          <w:tcPr>
            <w:tcW w:w="2946" w:type="dxa"/>
          </w:tcPr>
          <w:p w:rsidR="00764EB5" w:rsidRDefault="00DF13CC">
            <w:pPr>
              <w:spacing w:after="120"/>
              <w:ind w:firstLine="0"/>
              <w:rPr>
                <w:color w:val="auto"/>
                <w:sz w:val="24"/>
                <w:szCs w:val="24"/>
              </w:rPr>
            </w:pPr>
            <w:r>
              <w:rPr>
                <w:color w:val="auto"/>
                <w:sz w:val="24"/>
                <w:szCs w:val="24"/>
              </w:rPr>
              <w:t>Cần tách dự định/kế hoạch với mức độ sẵn sàng thực hiện thủ tục và giao dịch.</w:t>
            </w:r>
          </w:p>
        </w:tc>
        <w:tc>
          <w:tcPr>
            <w:tcW w:w="2946" w:type="dxa"/>
          </w:tcPr>
          <w:p w:rsidR="00764EB5" w:rsidRDefault="00DF13CC">
            <w:pPr>
              <w:spacing w:after="120"/>
              <w:ind w:firstLine="0"/>
              <w:rPr>
                <w:color w:val="auto"/>
                <w:sz w:val="24"/>
                <w:szCs w:val="24"/>
              </w:rPr>
            </w:pPr>
            <w:r>
              <w:rPr>
                <w:color w:val="auto"/>
                <w:sz w:val="24"/>
                <w:szCs w:val="24"/>
              </w:rPr>
              <w:t>Chuẩn hóa QDM là mức độ sẵn sàng ra quyết định mua; giới hạn kết luận.</w:t>
            </w:r>
          </w:p>
        </w:tc>
      </w:tr>
      <w:tr w:rsidR="00764EB5">
        <w:tc>
          <w:tcPr>
            <w:tcW w:w="2946" w:type="dxa"/>
          </w:tcPr>
          <w:p w:rsidR="00764EB5" w:rsidRDefault="00DF13CC">
            <w:pPr>
              <w:spacing w:after="120"/>
              <w:ind w:firstLine="0"/>
              <w:rPr>
                <w:color w:val="auto"/>
                <w:sz w:val="24"/>
                <w:szCs w:val="24"/>
              </w:rPr>
            </w:pPr>
            <w:r>
              <w:rPr>
                <w:color w:val="auto"/>
                <w:sz w:val="24"/>
                <w:szCs w:val="24"/>
              </w:rPr>
              <w:t>Ngôn ngữ thang đo</w:t>
            </w:r>
          </w:p>
        </w:tc>
        <w:tc>
          <w:tcPr>
            <w:tcW w:w="2946" w:type="dxa"/>
          </w:tcPr>
          <w:p w:rsidR="00764EB5" w:rsidRDefault="00DF13CC">
            <w:pPr>
              <w:spacing w:after="120"/>
              <w:ind w:firstLine="0"/>
              <w:rPr>
                <w:color w:val="auto"/>
                <w:sz w:val="24"/>
                <w:szCs w:val="24"/>
              </w:rPr>
            </w:pPr>
            <w:r>
              <w:rPr>
                <w:color w:val="auto"/>
                <w:sz w:val="24"/>
                <w:szCs w:val="24"/>
              </w:rPr>
              <w:t>Một số phát biểu gần nghĩa hoặc thiếu bối cảnh.</w:t>
            </w:r>
          </w:p>
        </w:tc>
        <w:tc>
          <w:tcPr>
            <w:tcW w:w="2946" w:type="dxa"/>
          </w:tcPr>
          <w:p w:rsidR="00764EB5" w:rsidRDefault="00DF13CC">
            <w:pPr>
              <w:spacing w:after="120"/>
              <w:ind w:firstLine="0"/>
              <w:rPr>
                <w:color w:val="auto"/>
                <w:sz w:val="24"/>
                <w:szCs w:val="24"/>
              </w:rPr>
            </w:pPr>
            <w:r>
              <w:rPr>
                <w:color w:val="auto"/>
                <w:sz w:val="24"/>
                <w:szCs w:val="24"/>
              </w:rPr>
              <w:t>Giải trình nội hàm; ghi nhận giới hạn và đề xuất hiệu chỉnh trong nghiên cứu tiếp theo.</w:t>
            </w:r>
          </w:p>
        </w:tc>
      </w:tr>
      <w:tr w:rsidR="00764EB5">
        <w:tc>
          <w:tcPr>
            <w:tcW w:w="2946" w:type="dxa"/>
          </w:tcPr>
          <w:p w:rsidR="00764EB5" w:rsidRDefault="00DF13CC">
            <w:pPr>
              <w:spacing w:after="120"/>
              <w:ind w:firstLine="0"/>
              <w:rPr>
                <w:color w:val="auto"/>
                <w:sz w:val="24"/>
                <w:szCs w:val="24"/>
              </w:rPr>
            </w:pPr>
            <w:r>
              <w:rPr>
                <w:color w:val="auto"/>
                <w:sz w:val="24"/>
                <w:szCs w:val="24"/>
              </w:rPr>
              <w:t>Khả năng tài chính và thông tin</w:t>
            </w:r>
          </w:p>
        </w:tc>
        <w:tc>
          <w:tcPr>
            <w:tcW w:w="2946" w:type="dxa"/>
          </w:tcPr>
          <w:p w:rsidR="00764EB5" w:rsidRDefault="00DF13CC">
            <w:pPr>
              <w:spacing w:after="120"/>
              <w:ind w:firstLine="0"/>
              <w:rPr>
                <w:color w:val="auto"/>
                <w:sz w:val="24"/>
                <w:szCs w:val="24"/>
              </w:rPr>
            </w:pPr>
            <w:r>
              <w:rPr>
                <w:color w:val="auto"/>
                <w:sz w:val="24"/>
                <w:szCs w:val="24"/>
              </w:rPr>
              <w:t>Là điều kiện thực hiện hành vi mua.</w:t>
            </w:r>
          </w:p>
        </w:tc>
        <w:tc>
          <w:tcPr>
            <w:tcW w:w="2946" w:type="dxa"/>
          </w:tcPr>
          <w:p w:rsidR="00764EB5" w:rsidRDefault="00DF13CC">
            <w:pPr>
              <w:spacing w:after="120"/>
              <w:ind w:firstLine="0"/>
              <w:rPr>
                <w:color w:val="auto"/>
                <w:sz w:val="24"/>
                <w:szCs w:val="24"/>
              </w:rPr>
            </w:pPr>
            <w:r>
              <w:rPr>
                <w:color w:val="auto"/>
                <w:sz w:val="24"/>
                <w:szCs w:val="24"/>
              </w:rPr>
              <w:t>Phản ánh trong NTHV; hàm ý tập trung giảm rào cản tài chính và thông tin.</w:t>
            </w:r>
          </w:p>
        </w:tc>
      </w:tr>
    </w:tbl>
    <w:p w:rsidR="00764EB5" w:rsidRDefault="00764EB5">
      <w:pPr>
        <w:spacing w:after="120"/>
        <w:rPr>
          <w:color w:val="auto"/>
        </w:rPr>
      </w:pPr>
    </w:p>
    <w:sectPr w:rsidR="00764EB5" w:rsidSect="003D6B28">
      <w:headerReference w:type="even" r:id="rId20"/>
      <w:headerReference w:type="default" r:id="rId21"/>
      <w:headerReference w:type="first" r:id="rId22"/>
      <w:pgSz w:w="11906" w:h="16838"/>
      <w:pgMar w:top="1588" w:right="1134" w:bottom="1588" w:left="1985" w:header="998" w:footer="0" w:gutter="0"/>
      <w:pgNumType w:start="1"/>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78C" w:rsidRDefault="002E378C">
      <w:pPr>
        <w:spacing w:line="240" w:lineRule="auto"/>
      </w:pPr>
      <w:r>
        <w:separator/>
      </w:r>
    </w:p>
  </w:endnote>
  <w:endnote w:type="continuationSeparator" w:id="0">
    <w:p w:rsidR="002E378C" w:rsidRDefault="002E37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Times New Roman Italic">
    <w:panose1 w:val="02020503050405090304"/>
    <w:charset w:val="00"/>
    <w:family w:val="auto"/>
    <w:pitch w:val="default"/>
    <w:sig w:usb0="E0002AEF" w:usb1="C0007841" w:usb2="00000009" w:usb3="00000000" w:csb0="400001FF" w:csb1="FFFF0000"/>
  </w:font>
  <w:font w:name="Aptos">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default"/>
  </w:font>
  <w:font w:name="Noto Sans CJK SC">
    <w:altName w:val="Segoe Print"/>
    <w:charset w:val="00"/>
    <w:family w:val="roman"/>
    <w:pitch w:val="default"/>
  </w:font>
  <w:font w:name="Lohit Devanagari">
    <w:altName w:val="Times New Roman"/>
    <w:charset w:val="00"/>
    <w:family w:val="roman"/>
    <w:pitch w:val="default"/>
  </w:font>
  <w:font w:name="Aptos Display">
    <w:altName w:val="Arial"/>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altName w:val="Yu Gothic UI"/>
    <w:charset w:val="80"/>
    <w:family w:val="roman"/>
    <w:pitch w:val="default"/>
    <w:sig w:usb0="00000000" w:usb1="00000000"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erriweather-Regular">
    <w:altName w:val="Times New Roman"/>
    <w:charset w:val="00"/>
    <w:family w:val="roman"/>
    <w:pitch w:val="default"/>
  </w:font>
  <w:font w:name="SimHei">
    <w:altName w:val="黑体"/>
    <w:panose1 w:val="02010600030101010101"/>
    <w:charset w:val="86"/>
    <w:family w:val="modern"/>
    <w:notTrueType/>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78C" w:rsidRDefault="002E378C">
      <w:r>
        <w:separator/>
      </w:r>
    </w:p>
  </w:footnote>
  <w:footnote w:type="continuationSeparator" w:id="0">
    <w:p w:rsidR="002E378C" w:rsidRDefault="002E37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B4E" w:rsidRDefault="00704B4E">
    <w:pPr>
      <w:spacing w:after="160" w:line="259" w:lineRule="auto"/>
      <w:ind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B4E" w:rsidRDefault="00704B4E">
    <w:pPr>
      <w:spacing w:after="160" w:line="259" w:lineRule="auto"/>
      <w:ind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B4E" w:rsidRDefault="00704B4E">
    <w:pPr>
      <w:spacing w:after="160" w:line="259" w:lineRule="auto"/>
      <w:ind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B4E" w:rsidRDefault="00704B4E">
    <w:pPr>
      <w:tabs>
        <w:tab w:val="center" w:pos="4536"/>
      </w:tabs>
      <w:spacing w:line="259" w:lineRule="auto"/>
      <w:ind w:firstLine="0"/>
      <w:jc w:val="left"/>
    </w:pPr>
    <w:r>
      <w:rPr>
        <w:rFonts w:ascii="Calibri" w:eastAsia="Calibri" w:hAnsi="Calibri" w:cs="Calibri"/>
        <w:sz w:val="24"/>
      </w:rPr>
      <w:t xml:space="preserve"> </w:t>
    </w:r>
    <w:r>
      <w:rPr>
        <w:rFonts w:ascii="Calibri" w:eastAsia="Calibri" w:hAnsi="Calibri" w:cs="Calibri"/>
        <w:sz w:val="24"/>
      </w:rPr>
      <w:tab/>
    </w:r>
    <w:r>
      <w:rPr>
        <w:noProof/>
      </w:rPr>
      <mc:AlternateContent>
        <mc:Choice Requires="wps">
          <w:drawing>
            <wp:anchor distT="0" distB="0" distL="0" distR="0" simplePos="0" relativeHeight="251655168" behindDoc="0" locked="0" layoutInCell="0" allowOverlap="1" wp14:anchorId="3F9B831B" wp14:editId="4C017827">
              <wp:simplePos x="0" y="0"/>
              <wp:positionH relativeFrom="margin">
                <wp:align>center</wp:align>
              </wp:positionH>
              <wp:positionV relativeFrom="paragraph">
                <wp:posOffset>635</wp:posOffset>
              </wp:positionV>
              <wp:extent cx="374650" cy="20447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374650" cy="204470"/>
                      </a:xfrm>
                      <a:prstGeom prst="rect">
                        <a:avLst/>
                      </a:prstGeom>
                      <a:solidFill>
                        <a:srgbClr val="FFFFFF">
                          <a:alpha val="0"/>
                        </a:srgbClr>
                      </a:solidFill>
                    </wps:spPr>
                    <wps:txbx>
                      <w:txbxContent>
                        <w:p w:rsidR="00704B4E" w:rsidRDefault="00704B4E">
                          <w:pPr>
                            <w:pStyle w:val="Header"/>
                            <w:rPr>
                              <w:rStyle w:val="PageNumber"/>
                            </w:rPr>
                          </w:pPr>
                        </w:p>
                      </w:txbxContent>
                    </wps:txbx>
                    <wps:bodyPr lIns="0" tIns="0" rIns="0" bIns="0" anchor="t">
                      <a:spAutoFit/>
                    </wps:bodyPr>
                  </wps:wsp>
                </a:graphicData>
              </a:graphic>
            </wp:anchor>
          </w:drawing>
        </mc:Choice>
        <mc:Fallback xmlns:w16se="http://schemas.microsoft.com/office/word/2015/wordml/symex" xmlns:w15="http://schemas.microsoft.com/office/word/2012/wordml" xmlns:cx="http://schemas.microsoft.com/office/drawing/2014/chartex">
          <w:pict>
            <v:shapetype w14:anchorId="3F9B831B" id="_x0000_t202" coordsize="21600,21600" o:spt="202" path="m,l,21600r21600,l21600,xe">
              <v:stroke joinstyle="miter"/>
              <v:path gradientshapeok="t" o:connecttype="rect"/>
            </v:shapetype>
            <v:shape id="Frame1" o:spid="_x0000_s1026" type="#_x0000_t202" style="position:absolute;margin-left:0;margin-top:.05pt;width:29.5pt;height:16.1pt;z-index:25165516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" o:allowincell="f" stroked="f">
              <v:fill opacity="0"/>
              <v:textbox style="mso-fit-shape-to-text:t" inset="0,0,0,0">
                <w:txbxContent>
                  <w:p w:rsidR="00704B4E" w:rsidRDefault="00704B4E">
                    <w:pPr>
                      <w:pStyle w:val="Header"/>
                      <w:rPr>
                        <w:rStyle w:val="PageNumber"/>
                      </w:rPr>
                    </w:pPr>
                  </w:p>
                </w:txbxContent>
              </v:textbox>
              <w10:wrap type="square" anchorx="margin"/>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B4E" w:rsidRDefault="00704B4E">
    <w:pPr>
      <w:spacing w:after="160" w:line="259" w:lineRule="auto"/>
      <w:ind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B4E" w:rsidRDefault="00704B4E"/>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B4E" w:rsidRDefault="00704B4E">
    <w:pPr>
      <w:tabs>
        <w:tab w:val="center" w:pos="4536"/>
      </w:tabs>
      <w:spacing w:line="259" w:lineRule="auto"/>
      <w:ind w:firstLine="0"/>
      <w:jc w:val="left"/>
    </w:pPr>
    <w:r>
      <w:rPr>
        <w:rFonts w:ascii="Calibri" w:eastAsia="Calibri" w:hAnsi="Calibri" w:cs="Calibri"/>
        <w:sz w:val="24"/>
      </w:rPr>
      <w:t xml:space="preserve"> </w:t>
    </w:r>
    <w:r>
      <w:rPr>
        <w:rFonts w:ascii="Calibri" w:eastAsia="Calibri" w:hAnsi="Calibri" w:cs="Calibri"/>
        <w:sz w:val="24"/>
      </w:rPr>
      <w:tab/>
    </w:r>
    <w:r>
      <w:rPr>
        <w:noProof/>
      </w:rPr>
      <mc:AlternateContent>
        <mc:Choice Requires="wps">
          <w:drawing>
            <wp:anchor distT="0" distB="0" distL="0" distR="0" simplePos="0" relativeHeight="251659264" behindDoc="0" locked="0" layoutInCell="0" allowOverlap="1" wp14:anchorId="7E0D240F" wp14:editId="592D4C4F">
              <wp:simplePos x="0" y="0"/>
              <wp:positionH relativeFrom="margin">
                <wp:align>center</wp:align>
              </wp:positionH>
              <wp:positionV relativeFrom="paragraph">
                <wp:posOffset>635</wp:posOffset>
              </wp:positionV>
              <wp:extent cx="627380" cy="204470"/>
              <wp:effectExtent l="0" t="0" r="0" b="0"/>
              <wp:wrapSquare wrapText="bothSides"/>
              <wp:docPr id="1213198537" name="Frame13"/>
              <wp:cNvGraphicFramePr/>
              <a:graphic xmlns:a="http://schemas.openxmlformats.org/drawingml/2006/main">
                <a:graphicData uri="http://schemas.microsoft.com/office/word/2010/wordprocessingShape">
                  <wps:wsp>
                    <wps:cNvSpPr txBox="1"/>
                    <wps:spPr>
                      <a:xfrm>
                        <a:off x="0" y="0"/>
                        <a:ext cx="627380" cy="204470"/>
                      </a:xfrm>
                      <a:prstGeom prst="rect">
                        <a:avLst/>
                      </a:prstGeom>
                      <a:solidFill>
                        <a:srgbClr val="FFFFFF">
                          <a:alpha val="0"/>
                        </a:srgbClr>
                      </a:solidFill>
                    </wps:spPr>
                    <wps:txbx>
                      <w:txbxContent>
                        <w:p w:rsidR="00704B4E" w:rsidRDefault="00704B4E">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sidR="00FB164D">
                            <w:rPr>
                              <w:rStyle w:val="PageNumber"/>
                              <w:noProof/>
                            </w:rPr>
                            <w:t>2</w:t>
                          </w:r>
                          <w:r>
                            <w:rPr>
                              <w:rStyle w:val="PageNumber"/>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Frame13" o:spid="_x0000_s1027" type="#_x0000_t202" style="position:absolute;margin-left:0;margin-top:.05pt;width:49.4pt;height:16.1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" o:allowincell="f" stroked="f">
              <v:fill opacity="0"/>
              <v:textbox style="mso-fit-shape-to-text:t" inset="0,0,0,0">
                <w:txbxContent>
                  <w:p w:rsidR="00704B4E" w:rsidRDefault="00704B4E">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sidR="00FB164D">
                      <w:rPr>
                        <w:rStyle w:val="PageNumber"/>
                        <w:noProof/>
                      </w:rPr>
                      <w:t>2</w:t>
                    </w:r>
                    <w:r>
                      <w:rPr>
                        <w:rStyle w:val="PageNumber"/>
                      </w:rPr>
                      <w:fldChar w:fldCharType="end"/>
                    </w:r>
                  </w:p>
                </w:txbxContent>
              </v:textbox>
              <w10:wrap type="square" anchorx="margin"/>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B4E" w:rsidRDefault="00704B4E">
    <w:pPr>
      <w:tabs>
        <w:tab w:val="center" w:pos="4536"/>
      </w:tabs>
      <w:spacing w:line="259" w:lineRule="auto"/>
      <w:ind w:firstLine="0"/>
      <w:jc w:val="left"/>
    </w:pPr>
    <w:r>
      <w:rPr>
        <w:rFonts w:ascii="Calibri" w:eastAsia="Calibri" w:hAnsi="Calibri" w:cs="Calibri"/>
        <w:sz w:val="24"/>
      </w:rPr>
      <w:t xml:space="preserve"> </w:t>
    </w:r>
    <w:r>
      <w:rPr>
        <w:rFonts w:ascii="Calibri" w:eastAsia="Calibri" w:hAnsi="Calibri" w:cs="Calibri"/>
        <w:sz w:val="24"/>
      </w:rPr>
      <w:tab/>
    </w:r>
    <w:r>
      <w:rPr>
        <w:noProof/>
      </w:rPr>
      <mc:AlternateContent>
        <mc:Choice Requires="wps">
          <w:drawing>
            <wp:anchor distT="0" distB="0" distL="0" distR="0" simplePos="0" relativeHeight="251663360" behindDoc="0" locked="0" layoutInCell="0" allowOverlap="1" wp14:anchorId="39D54C17" wp14:editId="46D4DC95">
              <wp:simplePos x="0" y="0"/>
              <wp:positionH relativeFrom="margin">
                <wp:align>center</wp:align>
              </wp:positionH>
              <wp:positionV relativeFrom="paragraph">
                <wp:posOffset>635</wp:posOffset>
              </wp:positionV>
              <wp:extent cx="627380" cy="204470"/>
              <wp:effectExtent l="0" t="0" r="0" b="0"/>
              <wp:wrapSquare wrapText="bothSides"/>
              <wp:docPr id="21" name="Frame14"/>
              <wp:cNvGraphicFramePr/>
              <a:graphic xmlns:a="http://schemas.openxmlformats.org/drawingml/2006/main">
                <a:graphicData uri="http://schemas.microsoft.com/office/word/2010/wordprocessingShape">
                  <wps:wsp>
                    <wps:cNvSpPr txBox="1"/>
                    <wps:spPr>
                      <a:xfrm>
                        <a:off x="0" y="0"/>
                        <a:ext cx="627380" cy="204470"/>
                      </a:xfrm>
                      <a:prstGeom prst="rect">
                        <a:avLst/>
                      </a:prstGeom>
                      <a:solidFill>
                        <a:srgbClr val="FFFFFF">
                          <a:alpha val="0"/>
                        </a:srgbClr>
                      </a:solidFill>
                    </wps:spPr>
                    <wps:txbx>
                      <w:txbxContent>
                        <w:p w:rsidR="00704B4E" w:rsidRDefault="00704B4E">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sidR="00FB164D">
                            <w:rPr>
                              <w:rStyle w:val="PageNumber"/>
                              <w:noProof/>
                            </w:rPr>
                            <w:t>1</w:t>
                          </w:r>
                          <w:r>
                            <w:rPr>
                              <w:rStyle w:val="PageNumber"/>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Frame14" o:spid="_x0000_s1028" type="#_x0000_t202" style="position:absolute;margin-left:0;margin-top:.05pt;width:49.4pt;height:16.1pt;z-index:25166336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" o:allowincell="f" stroked="f">
              <v:fill opacity="0"/>
              <v:textbox style="mso-fit-shape-to-text:t" inset="0,0,0,0">
                <w:txbxContent>
                  <w:p w:rsidR="00704B4E" w:rsidRDefault="00704B4E">
                    <w:pPr>
                      <w:pStyle w:val="Header"/>
                      <w:rPr>
                        <w:rStyle w:val="PageNumber"/>
                      </w:rPr>
                    </w:pPr>
                    <w:r>
                      <w:rPr>
                        <w:rStyle w:val="PageNumber"/>
                      </w:rPr>
                      <w:fldChar w:fldCharType="begin"/>
                    </w:r>
                    <w:r>
                      <w:rPr>
                        <w:rStyle w:val="PageNumber"/>
                      </w:rPr>
                      <w:instrText xml:space="preserve"> PAGE </w:instrText>
                    </w:r>
                    <w:r>
                      <w:rPr>
                        <w:rStyle w:val="PageNumber"/>
                      </w:rPr>
                      <w:fldChar w:fldCharType="separate"/>
                    </w:r>
                    <w:r w:rsidR="00FB164D">
                      <w:rPr>
                        <w:rStyle w:val="PageNumber"/>
                        <w:noProof/>
                      </w:rPr>
                      <w:t>1</w:t>
                    </w:r>
                    <w:r>
                      <w:rPr>
                        <w:rStyle w:val="PageNumber"/>
                      </w:rPr>
                      <w:fldChar w:fldCharType="end"/>
                    </w:r>
                  </w:p>
                </w:txbxContent>
              </v:textbox>
              <w10:wrap type="square" anchorx="margin"/>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B4E" w:rsidRDefault="00704B4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131B2"/>
    <w:multiLevelType w:val="multilevel"/>
    <w:tmpl w:val="0CA131B2"/>
    <w:lvl w:ilvl="0">
      <w:start w:val="1"/>
      <w:numFmt w:val="bullet"/>
      <w:lvlText w:val="-"/>
      <w:lvlJc w:val="left"/>
      <w:pPr>
        <w:tabs>
          <w:tab w:val="left" w:pos="720"/>
        </w:tabs>
        <w:ind w:left="720" w:hanging="360"/>
      </w:pPr>
      <w:rPr>
        <w:rFonts w:ascii="Times New Roman" w:hAnsi="Times New Roman" w:cs="Times New Roman" w:hint="default"/>
        <w:b w:val="0"/>
        <w:i w:val="0"/>
        <w:strike w:val="0"/>
        <w:dstrike w:val="0"/>
        <w:color w:val="000000"/>
        <w:position w:val="0"/>
        <w:sz w:val="26"/>
        <w:szCs w:val="26"/>
        <w:u w:val="none" w:color="000000"/>
        <w:shd w:val="clear" w:color="auto" w:fill="auto"/>
        <w:vertAlign w:val="baseline"/>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nsid w:val="0D412B3B"/>
    <w:multiLevelType w:val="multilevel"/>
    <w:tmpl w:val="0D412B3B"/>
    <w:lvl w:ilvl="0">
      <w:start w:val="1"/>
      <w:numFmt w:val="bullet"/>
      <w:lvlText w:val="-"/>
      <w:lvlJc w:val="left"/>
      <w:pPr>
        <w:tabs>
          <w:tab w:val="left" w:pos="0"/>
        </w:tabs>
        <w:ind w:left="1080" w:hanging="360"/>
      </w:pPr>
      <w:rPr>
        <w:rFonts w:ascii="Times New Roman" w:hAnsi="Times New Roman" w:cs="Times New Roman" w:hint="default"/>
        <w:b w:val="0"/>
        <w:i w:val="0"/>
        <w:strike w:val="0"/>
        <w:dstrike w:val="0"/>
        <w:color w:val="000000"/>
        <w:position w:val="0"/>
        <w:sz w:val="26"/>
        <w:szCs w:val="26"/>
        <w:u w:val="none" w:color="000000"/>
        <w:shd w:val="clear" w:color="auto" w:fill="auto"/>
        <w:vertAlign w:val="baseline"/>
      </w:rPr>
    </w:lvl>
    <w:lvl w:ilvl="1">
      <w:start w:val="1"/>
      <w:numFmt w:val="bullet"/>
      <w:lvlText w:val="o"/>
      <w:lvlJc w:val="left"/>
      <w:pPr>
        <w:tabs>
          <w:tab w:val="left" w:pos="0"/>
        </w:tabs>
        <w:ind w:left="1800" w:hanging="360"/>
      </w:pPr>
      <w:rPr>
        <w:rFonts w:ascii="Courier New" w:hAnsi="Courier New" w:cs="Courier New" w:hint="default"/>
      </w:rPr>
    </w:lvl>
    <w:lvl w:ilvl="2">
      <w:start w:val="1"/>
      <w:numFmt w:val="bullet"/>
      <w:lvlText w:val=""/>
      <w:lvlJc w:val="left"/>
      <w:pPr>
        <w:tabs>
          <w:tab w:val="left" w:pos="0"/>
        </w:tabs>
        <w:ind w:left="2520" w:hanging="360"/>
      </w:pPr>
      <w:rPr>
        <w:rFonts w:ascii="Wingdings" w:hAnsi="Wingdings" w:cs="Wingdings" w:hint="default"/>
      </w:rPr>
    </w:lvl>
    <w:lvl w:ilvl="3">
      <w:start w:val="1"/>
      <w:numFmt w:val="bullet"/>
      <w:lvlText w:val=""/>
      <w:lvlJc w:val="left"/>
      <w:pPr>
        <w:tabs>
          <w:tab w:val="left" w:pos="0"/>
        </w:tabs>
        <w:ind w:left="3240" w:hanging="360"/>
      </w:pPr>
      <w:rPr>
        <w:rFonts w:ascii="Symbol" w:hAnsi="Symbol" w:cs="Symbol" w:hint="default"/>
      </w:rPr>
    </w:lvl>
    <w:lvl w:ilvl="4">
      <w:start w:val="1"/>
      <w:numFmt w:val="bullet"/>
      <w:lvlText w:val="o"/>
      <w:lvlJc w:val="left"/>
      <w:pPr>
        <w:tabs>
          <w:tab w:val="left" w:pos="0"/>
        </w:tabs>
        <w:ind w:left="3960" w:hanging="360"/>
      </w:pPr>
      <w:rPr>
        <w:rFonts w:ascii="Courier New" w:hAnsi="Courier New" w:cs="Courier New" w:hint="default"/>
      </w:rPr>
    </w:lvl>
    <w:lvl w:ilvl="5">
      <w:start w:val="1"/>
      <w:numFmt w:val="bullet"/>
      <w:lvlText w:val=""/>
      <w:lvlJc w:val="left"/>
      <w:pPr>
        <w:tabs>
          <w:tab w:val="left" w:pos="0"/>
        </w:tabs>
        <w:ind w:left="4680" w:hanging="360"/>
      </w:pPr>
      <w:rPr>
        <w:rFonts w:ascii="Wingdings" w:hAnsi="Wingdings" w:cs="Wingdings" w:hint="default"/>
      </w:rPr>
    </w:lvl>
    <w:lvl w:ilvl="6">
      <w:start w:val="1"/>
      <w:numFmt w:val="bullet"/>
      <w:lvlText w:val=""/>
      <w:lvlJc w:val="left"/>
      <w:pPr>
        <w:tabs>
          <w:tab w:val="left" w:pos="0"/>
        </w:tabs>
        <w:ind w:left="5400" w:hanging="360"/>
      </w:pPr>
      <w:rPr>
        <w:rFonts w:ascii="Symbol" w:hAnsi="Symbol" w:cs="Symbol" w:hint="default"/>
      </w:rPr>
    </w:lvl>
    <w:lvl w:ilvl="7">
      <w:start w:val="1"/>
      <w:numFmt w:val="bullet"/>
      <w:lvlText w:val="o"/>
      <w:lvlJc w:val="left"/>
      <w:pPr>
        <w:tabs>
          <w:tab w:val="left" w:pos="0"/>
        </w:tabs>
        <w:ind w:left="6120" w:hanging="360"/>
      </w:pPr>
      <w:rPr>
        <w:rFonts w:ascii="Courier New" w:hAnsi="Courier New" w:cs="Courier New" w:hint="default"/>
      </w:rPr>
    </w:lvl>
    <w:lvl w:ilvl="8">
      <w:start w:val="1"/>
      <w:numFmt w:val="bullet"/>
      <w:lvlText w:val=""/>
      <w:lvlJc w:val="left"/>
      <w:pPr>
        <w:tabs>
          <w:tab w:val="left" w:pos="0"/>
        </w:tabs>
        <w:ind w:left="6840" w:hanging="360"/>
      </w:pPr>
      <w:rPr>
        <w:rFonts w:ascii="Wingdings" w:hAnsi="Wingdings" w:cs="Wingdings" w:hint="default"/>
      </w:rPr>
    </w:lvl>
  </w:abstractNum>
  <w:abstractNum w:abstractNumId="2">
    <w:nsid w:val="24A173FE"/>
    <w:multiLevelType w:val="multilevel"/>
    <w:tmpl w:val="24A173FE"/>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nsid w:val="250E5338"/>
    <w:multiLevelType w:val="multilevel"/>
    <w:tmpl w:val="250E5338"/>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nsid w:val="253C36A2"/>
    <w:multiLevelType w:val="multilevel"/>
    <w:tmpl w:val="253C36A2"/>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
    <w:nsid w:val="255F6327"/>
    <w:multiLevelType w:val="multilevel"/>
    <w:tmpl w:val="255F6327"/>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
    <w:nsid w:val="2B2F57F2"/>
    <w:multiLevelType w:val="multilevel"/>
    <w:tmpl w:val="2B2F57F2"/>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
    <w:nsid w:val="2C1149B3"/>
    <w:multiLevelType w:val="multilevel"/>
    <w:tmpl w:val="2C1149B3"/>
    <w:lvl w:ilvl="0">
      <w:start w:val="1"/>
      <w:numFmt w:val="bullet"/>
      <w:lvlText w:val="-"/>
      <w:lvlJc w:val="left"/>
      <w:pPr>
        <w:tabs>
          <w:tab w:val="left" w:pos="720"/>
        </w:tabs>
        <w:ind w:left="720" w:hanging="360"/>
      </w:pPr>
      <w:rPr>
        <w:rFonts w:ascii="Times New Roman" w:hAnsi="Times New Roman" w:cs="Times New Roman" w:hint="default"/>
        <w:b w:val="0"/>
        <w:i w:val="0"/>
        <w:strike w:val="0"/>
        <w:dstrike w:val="0"/>
        <w:color w:val="000000"/>
        <w:position w:val="0"/>
        <w:sz w:val="26"/>
        <w:szCs w:val="26"/>
        <w:u w:val="none" w:color="000000"/>
        <w:shd w:val="clear" w:color="auto" w:fill="auto"/>
        <w:vertAlign w:val="baseline"/>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
    <w:nsid w:val="31030B3D"/>
    <w:multiLevelType w:val="multilevel"/>
    <w:tmpl w:val="31030B3D"/>
    <w:lvl w:ilvl="0">
      <w:start w:val="1"/>
      <w:numFmt w:val="bullet"/>
      <w:lvlText w:val="-"/>
      <w:lvlJc w:val="left"/>
      <w:pPr>
        <w:tabs>
          <w:tab w:val="left" w:pos="720"/>
        </w:tabs>
        <w:ind w:left="720" w:hanging="360"/>
      </w:pPr>
      <w:rPr>
        <w:rFonts w:ascii="Times New Roman" w:hAnsi="Times New Roman" w:cs="Times New Roman" w:hint="default"/>
        <w:b w:val="0"/>
        <w:i w:val="0"/>
        <w:strike w:val="0"/>
        <w:dstrike w:val="0"/>
        <w:color w:val="000000"/>
        <w:position w:val="0"/>
        <w:sz w:val="26"/>
        <w:szCs w:val="26"/>
        <w:u w:val="none" w:color="000000"/>
        <w:shd w:val="clear" w:color="auto" w:fill="auto"/>
        <w:vertAlign w:val="baseline"/>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9">
    <w:nsid w:val="37F336E9"/>
    <w:multiLevelType w:val="multilevel"/>
    <w:tmpl w:val="37F336E9"/>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
    <w:nsid w:val="3BCA024C"/>
    <w:multiLevelType w:val="multilevel"/>
    <w:tmpl w:val="3BCA024C"/>
    <w:lvl w:ilvl="0">
      <w:start w:val="1"/>
      <w:numFmt w:val="bullet"/>
      <w:lvlText w:val="-"/>
      <w:lvlJc w:val="left"/>
      <w:pPr>
        <w:tabs>
          <w:tab w:val="left" w:pos="720"/>
        </w:tabs>
        <w:ind w:left="720" w:hanging="360"/>
      </w:pPr>
      <w:rPr>
        <w:rFonts w:ascii="Times New Roman" w:hAnsi="Times New Roman" w:cs="Times New Roman" w:hint="default"/>
        <w:b w:val="0"/>
        <w:i w:val="0"/>
        <w:strike w:val="0"/>
        <w:dstrike w:val="0"/>
        <w:color w:val="000000"/>
        <w:position w:val="0"/>
        <w:sz w:val="26"/>
        <w:szCs w:val="26"/>
        <w:u w:val="none" w:color="000000"/>
        <w:shd w:val="clear" w:color="auto" w:fill="auto"/>
        <w:vertAlign w:val="baseline"/>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1">
    <w:nsid w:val="42A03F5E"/>
    <w:multiLevelType w:val="multilevel"/>
    <w:tmpl w:val="42A03F5E"/>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2">
    <w:nsid w:val="42DC3D95"/>
    <w:multiLevelType w:val="multilevel"/>
    <w:tmpl w:val="42DC3D95"/>
    <w:lvl w:ilvl="0">
      <w:start w:val="1"/>
      <w:numFmt w:val="bullet"/>
      <w:lvlText w:val="-"/>
      <w:lvlJc w:val="left"/>
      <w:pPr>
        <w:tabs>
          <w:tab w:val="left" w:pos="720"/>
        </w:tabs>
        <w:ind w:left="720" w:hanging="360"/>
      </w:pPr>
      <w:rPr>
        <w:rFonts w:ascii="Times New Roman" w:hAnsi="Times New Roman" w:cs="Times New Roman" w:hint="default"/>
        <w:b w:val="0"/>
        <w:i w:val="0"/>
        <w:strike w:val="0"/>
        <w:dstrike w:val="0"/>
        <w:color w:val="000000"/>
        <w:position w:val="0"/>
        <w:sz w:val="26"/>
        <w:szCs w:val="26"/>
        <w:u w:val="none" w:color="000000"/>
        <w:shd w:val="clear" w:color="auto" w:fill="auto"/>
        <w:vertAlign w:val="baseline"/>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3">
    <w:nsid w:val="4DAA4517"/>
    <w:multiLevelType w:val="multilevel"/>
    <w:tmpl w:val="4DAA4517"/>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4">
    <w:nsid w:val="56220EE5"/>
    <w:multiLevelType w:val="multilevel"/>
    <w:tmpl w:val="56220EE5"/>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5">
    <w:nsid w:val="5B7B5A03"/>
    <w:multiLevelType w:val="multilevel"/>
    <w:tmpl w:val="5B7B5A03"/>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6">
    <w:nsid w:val="5DD50ABB"/>
    <w:multiLevelType w:val="multilevel"/>
    <w:tmpl w:val="5DD50ABB"/>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7">
    <w:nsid w:val="5FA05674"/>
    <w:multiLevelType w:val="multilevel"/>
    <w:tmpl w:val="5FA05674"/>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8">
    <w:nsid w:val="640B4E14"/>
    <w:multiLevelType w:val="multilevel"/>
    <w:tmpl w:val="640B4E14"/>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9">
    <w:nsid w:val="6A5C11E9"/>
    <w:multiLevelType w:val="multilevel"/>
    <w:tmpl w:val="6A5C11E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0">
    <w:nsid w:val="70122A98"/>
    <w:multiLevelType w:val="multilevel"/>
    <w:tmpl w:val="70122A9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1">
    <w:nsid w:val="72D17B7C"/>
    <w:multiLevelType w:val="multilevel"/>
    <w:tmpl w:val="72D17B7C"/>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2">
    <w:nsid w:val="7F041794"/>
    <w:multiLevelType w:val="multilevel"/>
    <w:tmpl w:val="7F041794"/>
    <w:lvl w:ilvl="0">
      <w:start w:val="1"/>
      <w:numFmt w:val="bullet"/>
      <w:lvlText w:val=""/>
      <w:lvlJc w:val="left"/>
      <w:pPr>
        <w:tabs>
          <w:tab w:val="left" w:pos="720"/>
        </w:tabs>
        <w:ind w:left="720" w:hanging="360"/>
      </w:pPr>
      <w:rPr>
        <w:rFonts w:ascii="Wingdings" w:hAnsi="Wingdings" w:cs="Wingdings"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abstractNumId w:val="1"/>
  </w:num>
  <w:num w:numId="2">
    <w:abstractNumId w:val="15"/>
  </w:num>
  <w:num w:numId="3">
    <w:abstractNumId w:val="13"/>
  </w:num>
  <w:num w:numId="4">
    <w:abstractNumId w:val="19"/>
  </w:num>
  <w:num w:numId="5">
    <w:abstractNumId w:val="20"/>
  </w:num>
  <w:num w:numId="6">
    <w:abstractNumId w:val="0"/>
  </w:num>
  <w:num w:numId="7">
    <w:abstractNumId w:val="8"/>
  </w:num>
  <w:num w:numId="8">
    <w:abstractNumId w:val="10"/>
  </w:num>
  <w:num w:numId="9">
    <w:abstractNumId w:val="7"/>
  </w:num>
  <w:num w:numId="10">
    <w:abstractNumId w:val="12"/>
  </w:num>
  <w:num w:numId="11">
    <w:abstractNumId w:val="17"/>
  </w:num>
  <w:num w:numId="12">
    <w:abstractNumId w:val="2"/>
  </w:num>
  <w:num w:numId="13">
    <w:abstractNumId w:val="18"/>
  </w:num>
  <w:num w:numId="14">
    <w:abstractNumId w:val="21"/>
  </w:num>
  <w:num w:numId="15">
    <w:abstractNumId w:val="6"/>
  </w:num>
  <w:num w:numId="16">
    <w:abstractNumId w:val="4"/>
  </w:num>
  <w:num w:numId="17">
    <w:abstractNumId w:val="16"/>
  </w:num>
  <w:num w:numId="18">
    <w:abstractNumId w:val="3"/>
  </w:num>
  <w:num w:numId="19">
    <w:abstractNumId w:val="9"/>
  </w:num>
  <w:num w:numId="20">
    <w:abstractNumId w:val="22"/>
  </w:num>
  <w:num w:numId="21">
    <w:abstractNumId w:val="11"/>
  </w:num>
  <w:num w:numId="22">
    <w:abstractNumId w:val="5"/>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defaultTabStop w:val="720"/>
  <w:autoHyphenation/>
  <w:hyphenationZone w:val="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3FA"/>
    <w:rsid w:val="00000EF6"/>
    <w:rsid w:val="000041EE"/>
    <w:rsid w:val="00006FC8"/>
    <w:rsid w:val="00021C6B"/>
    <w:rsid w:val="00026801"/>
    <w:rsid w:val="00033F00"/>
    <w:rsid w:val="00037948"/>
    <w:rsid w:val="00037FF8"/>
    <w:rsid w:val="00047521"/>
    <w:rsid w:val="00060BE6"/>
    <w:rsid w:val="00081392"/>
    <w:rsid w:val="000907B1"/>
    <w:rsid w:val="00096CD6"/>
    <w:rsid w:val="000A410F"/>
    <w:rsid w:val="000A6DCC"/>
    <w:rsid w:val="000A7B44"/>
    <w:rsid w:val="000B3FE2"/>
    <w:rsid w:val="000B6304"/>
    <w:rsid w:val="000C307F"/>
    <w:rsid w:val="000C38DB"/>
    <w:rsid w:val="000C4CEE"/>
    <w:rsid w:val="000D61B5"/>
    <w:rsid w:val="000E2356"/>
    <w:rsid w:val="000E5E70"/>
    <w:rsid w:val="000F07B6"/>
    <w:rsid w:val="000F1072"/>
    <w:rsid w:val="00105865"/>
    <w:rsid w:val="00106D35"/>
    <w:rsid w:val="00110F32"/>
    <w:rsid w:val="00111D46"/>
    <w:rsid w:val="001125D8"/>
    <w:rsid w:val="00115A79"/>
    <w:rsid w:val="00137C18"/>
    <w:rsid w:val="00143267"/>
    <w:rsid w:val="00143858"/>
    <w:rsid w:val="001569F7"/>
    <w:rsid w:val="001770B1"/>
    <w:rsid w:val="00177891"/>
    <w:rsid w:val="00182B99"/>
    <w:rsid w:val="00183B3D"/>
    <w:rsid w:val="001A1C13"/>
    <w:rsid w:val="001C723F"/>
    <w:rsid w:val="001D7CB3"/>
    <w:rsid w:val="001E64A9"/>
    <w:rsid w:val="001F166C"/>
    <w:rsid w:val="001F713A"/>
    <w:rsid w:val="001F7415"/>
    <w:rsid w:val="001F7B00"/>
    <w:rsid w:val="00200219"/>
    <w:rsid w:val="00202544"/>
    <w:rsid w:val="00205A9B"/>
    <w:rsid w:val="002111C0"/>
    <w:rsid w:val="002124B8"/>
    <w:rsid w:val="00223F62"/>
    <w:rsid w:val="00230481"/>
    <w:rsid w:val="00240A24"/>
    <w:rsid w:val="002416B1"/>
    <w:rsid w:val="00243266"/>
    <w:rsid w:val="00263F14"/>
    <w:rsid w:val="00265F09"/>
    <w:rsid w:val="002767BD"/>
    <w:rsid w:val="002801CA"/>
    <w:rsid w:val="00296D82"/>
    <w:rsid w:val="002A4999"/>
    <w:rsid w:val="002C6095"/>
    <w:rsid w:val="002D1E9A"/>
    <w:rsid w:val="002D3A51"/>
    <w:rsid w:val="002E35BC"/>
    <w:rsid w:val="002E378C"/>
    <w:rsid w:val="002E3C8D"/>
    <w:rsid w:val="002E7A41"/>
    <w:rsid w:val="00306DBA"/>
    <w:rsid w:val="00312953"/>
    <w:rsid w:val="0031468F"/>
    <w:rsid w:val="00326977"/>
    <w:rsid w:val="00334F17"/>
    <w:rsid w:val="003372C1"/>
    <w:rsid w:val="0034302F"/>
    <w:rsid w:val="003465EB"/>
    <w:rsid w:val="0035031B"/>
    <w:rsid w:val="00376861"/>
    <w:rsid w:val="00376F6B"/>
    <w:rsid w:val="00383EF8"/>
    <w:rsid w:val="003943EF"/>
    <w:rsid w:val="003A1EC4"/>
    <w:rsid w:val="003B1353"/>
    <w:rsid w:val="003B3B20"/>
    <w:rsid w:val="003C1061"/>
    <w:rsid w:val="003C48B3"/>
    <w:rsid w:val="003C4D09"/>
    <w:rsid w:val="003C61BA"/>
    <w:rsid w:val="003C69DE"/>
    <w:rsid w:val="003D263E"/>
    <w:rsid w:val="003D4A33"/>
    <w:rsid w:val="003D5693"/>
    <w:rsid w:val="003D6B28"/>
    <w:rsid w:val="00400F8A"/>
    <w:rsid w:val="0040775B"/>
    <w:rsid w:val="00411813"/>
    <w:rsid w:val="00417814"/>
    <w:rsid w:val="00417A03"/>
    <w:rsid w:val="00441DFE"/>
    <w:rsid w:val="00450CC9"/>
    <w:rsid w:val="00452533"/>
    <w:rsid w:val="00461538"/>
    <w:rsid w:val="00470117"/>
    <w:rsid w:val="0047070B"/>
    <w:rsid w:val="004719F1"/>
    <w:rsid w:val="00485E73"/>
    <w:rsid w:val="0049671B"/>
    <w:rsid w:val="004A0874"/>
    <w:rsid w:val="004B0178"/>
    <w:rsid w:val="004B39A9"/>
    <w:rsid w:val="004B4C67"/>
    <w:rsid w:val="004B5CD5"/>
    <w:rsid w:val="004C2550"/>
    <w:rsid w:val="004D5624"/>
    <w:rsid w:val="004D6979"/>
    <w:rsid w:val="004F1475"/>
    <w:rsid w:val="00505594"/>
    <w:rsid w:val="0052450D"/>
    <w:rsid w:val="0052735F"/>
    <w:rsid w:val="00534F65"/>
    <w:rsid w:val="00541836"/>
    <w:rsid w:val="005507F7"/>
    <w:rsid w:val="00572C5C"/>
    <w:rsid w:val="005806AA"/>
    <w:rsid w:val="00582559"/>
    <w:rsid w:val="0058676A"/>
    <w:rsid w:val="00591E42"/>
    <w:rsid w:val="005945FA"/>
    <w:rsid w:val="005A60BF"/>
    <w:rsid w:val="005C32ED"/>
    <w:rsid w:val="005D0272"/>
    <w:rsid w:val="005D1523"/>
    <w:rsid w:val="005E7083"/>
    <w:rsid w:val="005E7368"/>
    <w:rsid w:val="005E7B2F"/>
    <w:rsid w:val="005F0F9A"/>
    <w:rsid w:val="005F3243"/>
    <w:rsid w:val="005F3B35"/>
    <w:rsid w:val="00607D4A"/>
    <w:rsid w:val="0061044B"/>
    <w:rsid w:val="00615DA9"/>
    <w:rsid w:val="0063765A"/>
    <w:rsid w:val="00641472"/>
    <w:rsid w:val="006575F3"/>
    <w:rsid w:val="00665971"/>
    <w:rsid w:val="006834AC"/>
    <w:rsid w:val="00693980"/>
    <w:rsid w:val="006A3CC0"/>
    <w:rsid w:val="006A62F6"/>
    <w:rsid w:val="006A766A"/>
    <w:rsid w:val="006C270A"/>
    <w:rsid w:val="006C499E"/>
    <w:rsid w:val="006D0C38"/>
    <w:rsid w:val="006D6275"/>
    <w:rsid w:val="006E628C"/>
    <w:rsid w:val="006F0B02"/>
    <w:rsid w:val="00704B4E"/>
    <w:rsid w:val="00706BC6"/>
    <w:rsid w:val="00723F87"/>
    <w:rsid w:val="0072517B"/>
    <w:rsid w:val="00726D5E"/>
    <w:rsid w:val="00737EF6"/>
    <w:rsid w:val="007415BF"/>
    <w:rsid w:val="00745D78"/>
    <w:rsid w:val="00762314"/>
    <w:rsid w:val="00764EB5"/>
    <w:rsid w:val="007767E0"/>
    <w:rsid w:val="00783A1B"/>
    <w:rsid w:val="0079078B"/>
    <w:rsid w:val="0079173F"/>
    <w:rsid w:val="00791C97"/>
    <w:rsid w:val="00792063"/>
    <w:rsid w:val="00792272"/>
    <w:rsid w:val="00794B29"/>
    <w:rsid w:val="007A2F08"/>
    <w:rsid w:val="007B644D"/>
    <w:rsid w:val="007B7755"/>
    <w:rsid w:val="007C2A47"/>
    <w:rsid w:val="007D0F23"/>
    <w:rsid w:val="007D22E4"/>
    <w:rsid w:val="007D5FC5"/>
    <w:rsid w:val="007E1C7D"/>
    <w:rsid w:val="007E272D"/>
    <w:rsid w:val="007F0F7A"/>
    <w:rsid w:val="007F15DD"/>
    <w:rsid w:val="007F1748"/>
    <w:rsid w:val="007F5DC2"/>
    <w:rsid w:val="00806997"/>
    <w:rsid w:val="008076C6"/>
    <w:rsid w:val="0081030C"/>
    <w:rsid w:val="0081192C"/>
    <w:rsid w:val="0083048B"/>
    <w:rsid w:val="00833515"/>
    <w:rsid w:val="00833E8B"/>
    <w:rsid w:val="00840C8A"/>
    <w:rsid w:val="0084362B"/>
    <w:rsid w:val="00845F5C"/>
    <w:rsid w:val="008530C1"/>
    <w:rsid w:val="00857D66"/>
    <w:rsid w:val="00871E47"/>
    <w:rsid w:val="008746E7"/>
    <w:rsid w:val="00880328"/>
    <w:rsid w:val="00883EDC"/>
    <w:rsid w:val="008A6D2A"/>
    <w:rsid w:val="008A7EE0"/>
    <w:rsid w:val="008C6F28"/>
    <w:rsid w:val="008D25CE"/>
    <w:rsid w:val="008D54CB"/>
    <w:rsid w:val="008D7DCE"/>
    <w:rsid w:val="008E47A3"/>
    <w:rsid w:val="00903B13"/>
    <w:rsid w:val="00916B32"/>
    <w:rsid w:val="00962924"/>
    <w:rsid w:val="00967519"/>
    <w:rsid w:val="009707B2"/>
    <w:rsid w:val="009732B4"/>
    <w:rsid w:val="00980C2D"/>
    <w:rsid w:val="009837CD"/>
    <w:rsid w:val="009851BF"/>
    <w:rsid w:val="00996AD3"/>
    <w:rsid w:val="009A13FA"/>
    <w:rsid w:val="009A27BA"/>
    <w:rsid w:val="009B0B92"/>
    <w:rsid w:val="009B7990"/>
    <w:rsid w:val="009C0265"/>
    <w:rsid w:val="009E0DDC"/>
    <w:rsid w:val="009E14D6"/>
    <w:rsid w:val="009E18BD"/>
    <w:rsid w:val="009E5CAC"/>
    <w:rsid w:val="009E726C"/>
    <w:rsid w:val="009F5C2A"/>
    <w:rsid w:val="009F67B8"/>
    <w:rsid w:val="009F7986"/>
    <w:rsid w:val="00A30558"/>
    <w:rsid w:val="00A44BEF"/>
    <w:rsid w:val="00A461D4"/>
    <w:rsid w:val="00A556AA"/>
    <w:rsid w:val="00A560A2"/>
    <w:rsid w:val="00A70E81"/>
    <w:rsid w:val="00A7151C"/>
    <w:rsid w:val="00A81323"/>
    <w:rsid w:val="00A879E0"/>
    <w:rsid w:val="00A94CBA"/>
    <w:rsid w:val="00AA1B3D"/>
    <w:rsid w:val="00AA293D"/>
    <w:rsid w:val="00AA391A"/>
    <w:rsid w:val="00AA3D16"/>
    <w:rsid w:val="00AB38CA"/>
    <w:rsid w:val="00B01AB8"/>
    <w:rsid w:val="00B209ED"/>
    <w:rsid w:val="00B367E0"/>
    <w:rsid w:val="00B36C03"/>
    <w:rsid w:val="00B42725"/>
    <w:rsid w:val="00B4764D"/>
    <w:rsid w:val="00B50097"/>
    <w:rsid w:val="00B666BD"/>
    <w:rsid w:val="00B7353C"/>
    <w:rsid w:val="00B84FEF"/>
    <w:rsid w:val="00B907E4"/>
    <w:rsid w:val="00B91590"/>
    <w:rsid w:val="00BA04CA"/>
    <w:rsid w:val="00BA5386"/>
    <w:rsid w:val="00BB13CA"/>
    <w:rsid w:val="00BB1B5F"/>
    <w:rsid w:val="00BB5DED"/>
    <w:rsid w:val="00BC06CF"/>
    <w:rsid w:val="00BE1C3B"/>
    <w:rsid w:val="00BE2497"/>
    <w:rsid w:val="00BF5505"/>
    <w:rsid w:val="00C05AB7"/>
    <w:rsid w:val="00C0660A"/>
    <w:rsid w:val="00C15648"/>
    <w:rsid w:val="00C16BDC"/>
    <w:rsid w:val="00C25C7D"/>
    <w:rsid w:val="00C265F4"/>
    <w:rsid w:val="00C30B5C"/>
    <w:rsid w:val="00C32B47"/>
    <w:rsid w:val="00C4484B"/>
    <w:rsid w:val="00C46128"/>
    <w:rsid w:val="00C54407"/>
    <w:rsid w:val="00C66DE2"/>
    <w:rsid w:val="00C72274"/>
    <w:rsid w:val="00C80D0B"/>
    <w:rsid w:val="00C82D53"/>
    <w:rsid w:val="00C91687"/>
    <w:rsid w:val="00C93142"/>
    <w:rsid w:val="00CA0EE6"/>
    <w:rsid w:val="00CB5828"/>
    <w:rsid w:val="00CC6828"/>
    <w:rsid w:val="00CE04CB"/>
    <w:rsid w:val="00CE0852"/>
    <w:rsid w:val="00CE0DC7"/>
    <w:rsid w:val="00CE4B03"/>
    <w:rsid w:val="00CF6B9C"/>
    <w:rsid w:val="00D07252"/>
    <w:rsid w:val="00D14CD8"/>
    <w:rsid w:val="00D24F4E"/>
    <w:rsid w:val="00D2534F"/>
    <w:rsid w:val="00D37641"/>
    <w:rsid w:val="00D45166"/>
    <w:rsid w:val="00D53716"/>
    <w:rsid w:val="00D763D1"/>
    <w:rsid w:val="00D76BC9"/>
    <w:rsid w:val="00D76C1D"/>
    <w:rsid w:val="00D81C64"/>
    <w:rsid w:val="00D8429C"/>
    <w:rsid w:val="00DA0329"/>
    <w:rsid w:val="00DA2773"/>
    <w:rsid w:val="00DB76CA"/>
    <w:rsid w:val="00DC750C"/>
    <w:rsid w:val="00DD1585"/>
    <w:rsid w:val="00DF13CC"/>
    <w:rsid w:val="00DF5441"/>
    <w:rsid w:val="00E01727"/>
    <w:rsid w:val="00E04289"/>
    <w:rsid w:val="00E048E2"/>
    <w:rsid w:val="00E0733E"/>
    <w:rsid w:val="00E07CC0"/>
    <w:rsid w:val="00E1502A"/>
    <w:rsid w:val="00E241E7"/>
    <w:rsid w:val="00E45CB6"/>
    <w:rsid w:val="00E60233"/>
    <w:rsid w:val="00E67D83"/>
    <w:rsid w:val="00E71EAB"/>
    <w:rsid w:val="00E74A70"/>
    <w:rsid w:val="00EA11D0"/>
    <w:rsid w:val="00EA6E82"/>
    <w:rsid w:val="00EB0DAC"/>
    <w:rsid w:val="00EB4411"/>
    <w:rsid w:val="00ED09C2"/>
    <w:rsid w:val="00EE37BE"/>
    <w:rsid w:val="00EE7B50"/>
    <w:rsid w:val="00F014F6"/>
    <w:rsid w:val="00F01C12"/>
    <w:rsid w:val="00F07AB8"/>
    <w:rsid w:val="00F11FC6"/>
    <w:rsid w:val="00F428C7"/>
    <w:rsid w:val="00F504F5"/>
    <w:rsid w:val="00F50D10"/>
    <w:rsid w:val="00F5135A"/>
    <w:rsid w:val="00F56493"/>
    <w:rsid w:val="00F7415B"/>
    <w:rsid w:val="00F74E5E"/>
    <w:rsid w:val="00F901EC"/>
    <w:rsid w:val="00FA403E"/>
    <w:rsid w:val="00FB0DEC"/>
    <w:rsid w:val="00FB164D"/>
    <w:rsid w:val="00FB2D37"/>
    <w:rsid w:val="00FB2E50"/>
    <w:rsid w:val="00FC4D68"/>
    <w:rsid w:val="00FC5763"/>
    <w:rsid w:val="00FC6E98"/>
    <w:rsid w:val="00FE5811"/>
    <w:rsid w:val="676A2CD2"/>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uiPriority="9" w:qFormat="1"/>
    <w:lsdException w:name="heading 8" w:uiPriority="9" w:qFormat="1"/>
    <w:lsdException w:name="heading 9" w:uiPriority="9" w:qFormat="1"/>
    <w:lsdException w:name="toc 1" w:uiPriority="39" w:unhideWhenUsed="0"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er" w:qFormat="1"/>
    <w:lsdException w:name="index heading" w:uiPriority="0" w:unhideWhenUsed="0" w:qFormat="1"/>
    <w:lsdException w:name="caption" w:uiPriority="35" w:qFormat="1"/>
    <w:lsdException w:name="table of figures" w:qFormat="1"/>
    <w:lsdException w:name="line number" w:qFormat="1"/>
    <w:lsdException w:name="page number" w:qFormat="1"/>
    <w:lsdException w:name="List"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3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360" w:lineRule="auto"/>
      <w:ind w:firstLine="567"/>
      <w:jc w:val="both"/>
    </w:pPr>
    <w:rPr>
      <w:rFonts w:ascii="Times New Roman" w:hAnsi="Times New Roman"/>
      <w:color w:val="000000"/>
      <w:sz w:val="26"/>
      <w:szCs w:val="22"/>
    </w:rPr>
  </w:style>
  <w:style w:type="paragraph" w:styleId="Heading1">
    <w:name w:val="heading 1"/>
    <w:next w:val="Normal"/>
    <w:link w:val="Heading1Char"/>
    <w:uiPriority w:val="9"/>
    <w:unhideWhenUsed/>
    <w:qFormat/>
    <w:pPr>
      <w:keepNext/>
      <w:keepLines/>
      <w:suppressAutoHyphens/>
      <w:spacing w:line="360" w:lineRule="auto"/>
      <w:ind w:firstLine="567"/>
      <w:jc w:val="center"/>
      <w:outlineLvl w:val="0"/>
    </w:pPr>
    <w:rPr>
      <w:rFonts w:ascii="Times New Roman Bold" w:hAnsi="Times New Roman Bold"/>
      <w:b/>
      <w:caps/>
      <w:color w:val="000000"/>
      <w:sz w:val="28"/>
      <w:szCs w:val="22"/>
    </w:rPr>
  </w:style>
  <w:style w:type="paragraph" w:styleId="Heading2">
    <w:name w:val="heading 2"/>
    <w:next w:val="Normal"/>
    <w:link w:val="Heading2Char"/>
    <w:autoRedefine/>
    <w:uiPriority w:val="9"/>
    <w:unhideWhenUsed/>
    <w:qFormat/>
    <w:rsid w:val="007B644D"/>
    <w:pPr>
      <w:keepNext/>
      <w:keepLines/>
      <w:suppressAutoHyphens/>
      <w:spacing w:line="360" w:lineRule="auto"/>
      <w:jc w:val="both"/>
      <w:outlineLvl w:val="1"/>
    </w:pPr>
    <w:rPr>
      <w:rFonts w:ascii="Times New Roman" w:hAnsi="Times New Roman"/>
      <w:b/>
      <w:bCs/>
      <w:spacing w:val="-8"/>
      <w:sz w:val="26"/>
      <w:szCs w:val="26"/>
      <w:shd w:val="clear" w:color="auto" w:fill="FFFFFF"/>
    </w:rPr>
  </w:style>
  <w:style w:type="paragraph" w:styleId="Heading3">
    <w:name w:val="heading 3"/>
    <w:next w:val="Normal"/>
    <w:link w:val="Heading3Char"/>
    <w:autoRedefine/>
    <w:uiPriority w:val="9"/>
    <w:unhideWhenUsed/>
    <w:qFormat/>
    <w:rsid w:val="00021C6B"/>
    <w:pPr>
      <w:keepNext/>
      <w:keepLines/>
      <w:suppressAutoHyphens/>
      <w:spacing w:line="360" w:lineRule="auto"/>
      <w:jc w:val="both"/>
      <w:outlineLvl w:val="2"/>
    </w:pPr>
    <w:rPr>
      <w:rFonts w:ascii="Times New Roman Italic" w:hAnsi="Times New Roman Italic"/>
      <w:b/>
      <w:bCs/>
      <w:i/>
      <w:sz w:val="26"/>
      <w:szCs w:val="22"/>
    </w:rPr>
  </w:style>
  <w:style w:type="paragraph" w:styleId="Heading4">
    <w:name w:val="heading 4"/>
    <w:next w:val="Normal"/>
    <w:link w:val="Heading4Char"/>
    <w:autoRedefine/>
    <w:uiPriority w:val="9"/>
    <w:unhideWhenUsed/>
    <w:qFormat/>
    <w:rsid w:val="00021C6B"/>
    <w:pPr>
      <w:keepNext/>
      <w:keepLines/>
      <w:suppressAutoHyphens/>
      <w:spacing w:line="360" w:lineRule="auto"/>
      <w:jc w:val="both"/>
      <w:outlineLvl w:val="3"/>
    </w:pPr>
    <w:rPr>
      <w:rFonts w:ascii="Times New Roman" w:hAnsi="Times New Roman"/>
      <w:i/>
      <w:iCs/>
      <w:color w:val="000000" w:themeColor="text1"/>
      <w:sz w:val="28"/>
      <w:szCs w:val="22"/>
    </w:rPr>
  </w:style>
  <w:style w:type="paragraph" w:styleId="Heading5">
    <w:name w:val="heading 5"/>
    <w:next w:val="Normal"/>
    <w:link w:val="Heading5Char"/>
    <w:uiPriority w:val="9"/>
    <w:unhideWhenUsed/>
    <w:qFormat/>
    <w:pPr>
      <w:keepNext/>
      <w:keepLines/>
      <w:suppressAutoHyphens/>
      <w:spacing w:after="183" w:line="259" w:lineRule="auto"/>
      <w:ind w:left="4131" w:right="233" w:hanging="10"/>
      <w:jc w:val="right"/>
      <w:outlineLvl w:val="4"/>
    </w:pPr>
    <w:rPr>
      <w:rFonts w:ascii="Times New Roman" w:hAnsi="Times New Roman"/>
      <w:i/>
      <w:color w:val="000000"/>
      <w:sz w:val="26"/>
      <w:szCs w:val="22"/>
    </w:rPr>
  </w:style>
  <w:style w:type="paragraph" w:styleId="Heading6">
    <w:name w:val="heading 6"/>
    <w:next w:val="Normal"/>
    <w:link w:val="Heading6Char"/>
    <w:uiPriority w:val="9"/>
    <w:unhideWhenUsed/>
    <w:qFormat/>
    <w:pPr>
      <w:keepNext/>
      <w:keepLines/>
      <w:suppressAutoHyphens/>
      <w:spacing w:line="259" w:lineRule="auto"/>
      <w:ind w:left="5434" w:hanging="10"/>
      <w:jc w:val="center"/>
      <w:outlineLvl w:val="5"/>
    </w:pPr>
    <w:rPr>
      <w:rFonts w:ascii="Times New Roman" w:hAnsi="Times New Roman"/>
      <w:b/>
      <w:color w:val="000000"/>
      <w:sz w:val="26"/>
      <w:szCs w:val="22"/>
    </w:rPr>
  </w:style>
  <w:style w:type="paragraph" w:styleId="Heading7">
    <w:name w:val="heading 7"/>
    <w:next w:val="Normal"/>
    <w:link w:val="Heading7Char"/>
    <w:uiPriority w:val="9"/>
    <w:unhideWhenUsed/>
    <w:qFormat/>
    <w:pPr>
      <w:keepNext/>
      <w:keepLines/>
      <w:suppressAutoHyphens/>
      <w:spacing w:after="183" w:line="259" w:lineRule="auto"/>
      <w:ind w:left="4131" w:right="233" w:hanging="10"/>
      <w:jc w:val="right"/>
      <w:outlineLvl w:val="6"/>
    </w:pPr>
    <w:rPr>
      <w:rFonts w:ascii="Times New Roman" w:hAnsi="Times New Roman"/>
      <w:i/>
      <w:color w:val="000000"/>
      <w:sz w:val="26"/>
      <w:szCs w:val="22"/>
    </w:rPr>
  </w:style>
  <w:style w:type="paragraph" w:styleId="Heading8">
    <w:name w:val="heading 8"/>
    <w:basedOn w:val="Normal"/>
    <w:next w:val="Normal"/>
    <w:link w:val="Heading8Char"/>
    <w:uiPriority w:val="9"/>
    <w:semiHidden/>
    <w:unhideWhenUsed/>
    <w:qFormat/>
    <w:pPr>
      <w:keepNext/>
      <w:keepLines/>
      <w:spacing w:line="278" w:lineRule="auto"/>
      <w:ind w:firstLine="0"/>
      <w:jc w:val="left"/>
      <w:outlineLvl w:val="7"/>
    </w:pPr>
    <w:rPr>
      <w:rFonts w:ascii="Aptos" w:hAnsi="Aptos"/>
      <w:i/>
      <w:iCs/>
      <w:color w:val="272727"/>
      <w:kern w:val="2"/>
      <w:sz w:val="24"/>
      <w:szCs w:val="24"/>
    </w:rPr>
  </w:style>
  <w:style w:type="paragraph" w:styleId="Heading9">
    <w:name w:val="heading 9"/>
    <w:basedOn w:val="Normal"/>
    <w:next w:val="Normal"/>
    <w:link w:val="Heading9Char"/>
    <w:uiPriority w:val="9"/>
    <w:semiHidden/>
    <w:unhideWhenUsed/>
    <w:qFormat/>
    <w:pPr>
      <w:keepNext/>
      <w:keepLines/>
      <w:spacing w:line="278" w:lineRule="auto"/>
      <w:ind w:firstLine="0"/>
      <w:jc w:val="left"/>
      <w:outlineLvl w:val="8"/>
    </w:pPr>
    <w:rPr>
      <w:rFonts w:ascii="Aptos" w:hAnsi="Aptos"/>
      <w:color w:val="272727"/>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line="240" w:lineRule="auto"/>
    </w:pPr>
    <w:rPr>
      <w:rFonts w:ascii="Tahoma" w:hAnsi="Tahoma" w:cs="Tahoma"/>
      <w:sz w:val="16"/>
      <w:szCs w:val="16"/>
    </w:rPr>
  </w:style>
  <w:style w:type="paragraph" w:styleId="BodyText">
    <w:name w:val="Body Text"/>
    <w:basedOn w:val="Normal"/>
    <w:qFormat/>
    <w:pPr>
      <w:spacing w:after="140" w:line="276" w:lineRule="auto"/>
    </w:pPr>
  </w:style>
  <w:style w:type="paragraph" w:styleId="Caption">
    <w:name w:val="caption"/>
    <w:basedOn w:val="Normal"/>
    <w:next w:val="Normal"/>
    <w:uiPriority w:val="35"/>
    <w:unhideWhenUsed/>
    <w:qFormat/>
    <w:pPr>
      <w:ind w:firstLine="0"/>
    </w:pPr>
    <w:rPr>
      <w:b/>
      <w:bCs/>
      <w:szCs w:val="20"/>
    </w:rPr>
  </w:style>
  <w:style w:type="character" w:styleId="Emphasis">
    <w:name w:val="Emphasis"/>
    <w:uiPriority w:val="20"/>
    <w:qFormat/>
    <w:rPr>
      <w:i/>
      <w:i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pPr>
      <w:tabs>
        <w:tab w:val="center" w:pos="4680"/>
        <w:tab w:val="right" w:pos="9360"/>
      </w:tabs>
      <w:spacing w:line="240" w:lineRule="auto"/>
    </w:pPr>
  </w:style>
  <w:style w:type="character" w:styleId="Hyperlink">
    <w:name w:val="Hyperlink"/>
    <w:uiPriority w:val="99"/>
    <w:unhideWhenUsed/>
    <w:qFormat/>
    <w:rPr>
      <w:color w:val="467886"/>
      <w:u w:val="single"/>
    </w:rPr>
  </w:style>
  <w:style w:type="paragraph" w:styleId="IndexHeading">
    <w:name w:val="index heading"/>
    <w:basedOn w:val="Heading"/>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character" w:styleId="LineNumber">
    <w:name w:val="line number"/>
    <w:basedOn w:val="DefaultParagraphFont"/>
    <w:uiPriority w:val="99"/>
    <w:semiHidden/>
    <w:unhideWhenUsed/>
    <w:qFormat/>
  </w:style>
  <w:style w:type="paragraph" w:styleId="List">
    <w:name w:val="List"/>
    <w:basedOn w:val="BodyText"/>
    <w:qFormat/>
    <w:rPr>
      <w:rFonts w:cs="Lohit Devanagari"/>
    </w:rPr>
  </w:style>
  <w:style w:type="paragraph" w:styleId="NormalWeb">
    <w:name w:val="Normal (Web)"/>
    <w:basedOn w:val="Normal"/>
    <w:uiPriority w:val="99"/>
    <w:semiHidden/>
    <w:unhideWhenUsed/>
    <w:qFormat/>
    <w:pPr>
      <w:spacing w:beforeAutospacing="1" w:afterAutospacing="1" w:line="240" w:lineRule="auto"/>
      <w:ind w:firstLine="0"/>
      <w:jc w:val="left"/>
    </w:pPr>
    <w:rPr>
      <w:color w:val="auto"/>
      <w:sz w:val="24"/>
      <w:szCs w:val="24"/>
    </w:rPr>
  </w:style>
  <w:style w:type="character" w:styleId="PageNumber">
    <w:name w:val="page number"/>
    <w:basedOn w:val="DefaultParagraphFont"/>
    <w:uiPriority w:val="99"/>
    <w:semiHidden/>
    <w:unhideWhenUsed/>
    <w:qFormat/>
  </w:style>
  <w:style w:type="character" w:styleId="Strong">
    <w:name w:val="Strong"/>
    <w:uiPriority w:val="22"/>
    <w:qFormat/>
    <w:rPr>
      <w:b/>
      <w:bCs/>
    </w:rPr>
  </w:style>
  <w:style w:type="paragraph" w:styleId="Subtitle">
    <w:name w:val="Subtitle"/>
    <w:basedOn w:val="Normal"/>
    <w:next w:val="Normal"/>
    <w:link w:val="SubtitleChar"/>
    <w:uiPriority w:val="11"/>
    <w:qFormat/>
    <w:pPr>
      <w:spacing w:after="160" w:line="278" w:lineRule="auto"/>
      <w:jc w:val="left"/>
    </w:pPr>
    <w:rPr>
      <w:rFonts w:ascii="Aptos" w:hAnsi="Aptos"/>
      <w:color w:val="595959"/>
      <w:spacing w:val="15"/>
      <w:kern w:val="2"/>
      <w:szCs w:val="2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ind w:left="520" w:hanging="520"/>
      <w:jc w:val="left"/>
    </w:pPr>
    <w:rPr>
      <w:rFonts w:asciiTheme="minorHAnsi" w:hAnsiTheme="minorHAnsi"/>
      <w:caps/>
      <w:sz w:val="20"/>
      <w:szCs w:val="20"/>
    </w:rPr>
  </w:style>
  <w:style w:type="paragraph" w:styleId="Title">
    <w:name w:val="Title"/>
    <w:basedOn w:val="Normal"/>
    <w:next w:val="Normal"/>
    <w:link w:val="TitleChar"/>
    <w:uiPriority w:val="10"/>
    <w:qFormat/>
    <w:pPr>
      <w:spacing w:after="80" w:line="240" w:lineRule="auto"/>
      <w:ind w:firstLine="0"/>
      <w:contextualSpacing/>
      <w:jc w:val="left"/>
    </w:pPr>
    <w:rPr>
      <w:rFonts w:ascii="Aptos Display" w:hAnsi="Aptos Display"/>
      <w:color w:val="auto"/>
      <w:spacing w:val="-10"/>
      <w:kern w:val="2"/>
      <w:sz w:val="56"/>
      <w:szCs w:val="56"/>
    </w:rPr>
  </w:style>
  <w:style w:type="paragraph" w:styleId="TOC1">
    <w:name w:val="toc 1"/>
    <w:uiPriority w:val="39"/>
    <w:qFormat/>
    <w:pPr>
      <w:suppressAutoHyphens/>
      <w:spacing w:after="20" w:line="307" w:lineRule="auto"/>
      <w:ind w:left="298" w:right="36"/>
      <w:jc w:val="both"/>
    </w:pPr>
    <w:rPr>
      <w:rFonts w:ascii="Times New Roman" w:hAnsi="Times New Roman"/>
      <w:color w:val="000000"/>
      <w:sz w:val="26"/>
      <w:szCs w:val="22"/>
    </w:rPr>
  </w:style>
  <w:style w:type="paragraph" w:styleId="TOC2">
    <w:name w:val="toc 2"/>
    <w:basedOn w:val="Normal"/>
    <w:next w:val="Normal"/>
    <w:autoRedefine/>
    <w:uiPriority w:val="39"/>
    <w:unhideWhenUsed/>
    <w:qFormat/>
    <w:pPr>
      <w:tabs>
        <w:tab w:val="right" w:leader="dot" w:pos="8829"/>
      </w:tabs>
      <w:ind w:left="260"/>
    </w:pPr>
    <w:rPr>
      <w:bCs/>
    </w:rPr>
  </w:style>
  <w:style w:type="paragraph" w:styleId="TOC3">
    <w:name w:val="toc 3"/>
    <w:basedOn w:val="Normal"/>
    <w:next w:val="Normal"/>
    <w:autoRedefine/>
    <w:uiPriority w:val="39"/>
    <w:unhideWhenUsed/>
    <w:qFormat/>
    <w:pPr>
      <w:ind w:left="520"/>
    </w:pPr>
  </w:style>
  <w:style w:type="paragraph" w:styleId="TOC4">
    <w:name w:val="toc 4"/>
    <w:basedOn w:val="Normal"/>
    <w:next w:val="Normal"/>
    <w:autoRedefine/>
    <w:uiPriority w:val="39"/>
    <w:unhideWhenUsed/>
    <w:qFormat/>
    <w:pPr>
      <w:spacing w:after="100" w:line="278" w:lineRule="auto"/>
      <w:ind w:left="720" w:firstLine="0"/>
      <w:jc w:val="left"/>
    </w:pPr>
    <w:rPr>
      <w:rFonts w:ascii="Aptos" w:hAnsi="Aptos"/>
      <w:color w:val="auto"/>
      <w:kern w:val="2"/>
      <w:sz w:val="24"/>
      <w:szCs w:val="24"/>
    </w:rPr>
  </w:style>
  <w:style w:type="paragraph" w:styleId="TOC5">
    <w:name w:val="toc 5"/>
    <w:basedOn w:val="Normal"/>
    <w:next w:val="Normal"/>
    <w:autoRedefine/>
    <w:uiPriority w:val="39"/>
    <w:unhideWhenUsed/>
    <w:qFormat/>
    <w:pPr>
      <w:spacing w:after="100" w:line="278" w:lineRule="auto"/>
      <w:ind w:left="960" w:firstLine="0"/>
      <w:jc w:val="left"/>
    </w:pPr>
    <w:rPr>
      <w:rFonts w:ascii="Aptos" w:hAnsi="Aptos"/>
      <w:color w:val="auto"/>
      <w:kern w:val="2"/>
      <w:sz w:val="24"/>
      <w:szCs w:val="24"/>
    </w:rPr>
  </w:style>
  <w:style w:type="paragraph" w:styleId="TOC6">
    <w:name w:val="toc 6"/>
    <w:basedOn w:val="Normal"/>
    <w:next w:val="Normal"/>
    <w:autoRedefine/>
    <w:uiPriority w:val="39"/>
    <w:unhideWhenUsed/>
    <w:qFormat/>
    <w:pPr>
      <w:spacing w:after="100" w:line="278" w:lineRule="auto"/>
      <w:ind w:left="1200" w:firstLine="0"/>
      <w:jc w:val="left"/>
    </w:pPr>
    <w:rPr>
      <w:rFonts w:ascii="Aptos" w:hAnsi="Aptos"/>
      <w:color w:val="auto"/>
      <w:kern w:val="2"/>
      <w:sz w:val="24"/>
      <w:szCs w:val="24"/>
    </w:rPr>
  </w:style>
  <w:style w:type="paragraph" w:styleId="TOC7">
    <w:name w:val="toc 7"/>
    <w:basedOn w:val="Normal"/>
    <w:next w:val="Normal"/>
    <w:autoRedefine/>
    <w:uiPriority w:val="39"/>
    <w:unhideWhenUsed/>
    <w:qFormat/>
    <w:pPr>
      <w:spacing w:after="100" w:line="278" w:lineRule="auto"/>
      <w:ind w:left="1440" w:firstLine="0"/>
      <w:jc w:val="left"/>
    </w:pPr>
    <w:rPr>
      <w:rFonts w:ascii="Aptos" w:hAnsi="Aptos"/>
      <w:color w:val="auto"/>
      <w:kern w:val="2"/>
      <w:sz w:val="24"/>
      <w:szCs w:val="24"/>
    </w:rPr>
  </w:style>
  <w:style w:type="paragraph" w:styleId="TOC8">
    <w:name w:val="toc 8"/>
    <w:basedOn w:val="Normal"/>
    <w:next w:val="Normal"/>
    <w:autoRedefine/>
    <w:uiPriority w:val="39"/>
    <w:unhideWhenUsed/>
    <w:qFormat/>
    <w:pPr>
      <w:spacing w:after="100" w:line="278" w:lineRule="auto"/>
      <w:ind w:left="1680" w:firstLine="0"/>
      <w:jc w:val="left"/>
    </w:pPr>
    <w:rPr>
      <w:rFonts w:ascii="Aptos" w:hAnsi="Aptos"/>
      <w:color w:val="auto"/>
      <w:kern w:val="2"/>
      <w:sz w:val="24"/>
      <w:szCs w:val="24"/>
    </w:rPr>
  </w:style>
  <w:style w:type="paragraph" w:styleId="TOC9">
    <w:name w:val="toc 9"/>
    <w:basedOn w:val="Normal"/>
    <w:next w:val="Normal"/>
    <w:autoRedefine/>
    <w:uiPriority w:val="39"/>
    <w:unhideWhenUsed/>
    <w:qFormat/>
    <w:pPr>
      <w:spacing w:after="100" w:line="278" w:lineRule="auto"/>
      <w:ind w:left="1920" w:firstLine="0"/>
      <w:jc w:val="left"/>
    </w:pPr>
    <w:rPr>
      <w:rFonts w:ascii="Aptos" w:hAnsi="Aptos"/>
      <w:color w:val="auto"/>
      <w:kern w:val="2"/>
      <w:sz w:val="24"/>
      <w:szCs w:val="24"/>
    </w:rPr>
  </w:style>
  <w:style w:type="character" w:customStyle="1" w:styleId="Heading2Char">
    <w:name w:val="Heading 2 Char"/>
    <w:link w:val="Heading2"/>
    <w:uiPriority w:val="9"/>
    <w:qFormat/>
    <w:rsid w:val="007B644D"/>
    <w:rPr>
      <w:rFonts w:ascii="Times New Roman" w:hAnsi="Times New Roman"/>
      <w:b/>
      <w:bCs/>
      <w:spacing w:val="-8"/>
      <w:sz w:val="26"/>
      <w:szCs w:val="26"/>
    </w:rPr>
  </w:style>
  <w:style w:type="character" w:customStyle="1" w:styleId="Heading3Char">
    <w:name w:val="Heading 3 Char"/>
    <w:link w:val="Heading3"/>
    <w:uiPriority w:val="9"/>
    <w:qFormat/>
    <w:rsid w:val="00021C6B"/>
    <w:rPr>
      <w:rFonts w:ascii="Times New Roman Italic" w:hAnsi="Times New Roman Italic"/>
      <w:b/>
      <w:bCs/>
      <w:i/>
      <w:sz w:val="26"/>
      <w:szCs w:val="22"/>
    </w:rPr>
  </w:style>
  <w:style w:type="character" w:customStyle="1" w:styleId="Heading4Char">
    <w:name w:val="Heading 4 Char"/>
    <w:link w:val="Heading4"/>
    <w:uiPriority w:val="9"/>
    <w:qFormat/>
    <w:rsid w:val="00021C6B"/>
    <w:rPr>
      <w:rFonts w:ascii="Times New Roman" w:hAnsi="Times New Roman"/>
      <w:i/>
      <w:iCs/>
      <w:color w:val="000000" w:themeColor="text1"/>
      <w:sz w:val="28"/>
      <w:szCs w:val="22"/>
    </w:rPr>
  </w:style>
  <w:style w:type="character" w:customStyle="1" w:styleId="Heading6Char">
    <w:name w:val="Heading 6 Char"/>
    <w:link w:val="Heading6"/>
    <w:uiPriority w:val="9"/>
    <w:qFormat/>
    <w:rPr>
      <w:rFonts w:ascii="Times New Roman" w:eastAsia="Times New Roman" w:hAnsi="Times New Roman" w:cs="Times New Roman"/>
      <w:b/>
      <w:color w:val="000000"/>
      <w:sz w:val="26"/>
    </w:rPr>
  </w:style>
  <w:style w:type="character" w:customStyle="1" w:styleId="Heading5Char">
    <w:name w:val="Heading 5 Char"/>
    <w:link w:val="Heading5"/>
    <w:uiPriority w:val="9"/>
    <w:qFormat/>
    <w:rPr>
      <w:rFonts w:ascii="Times New Roman" w:eastAsia="Times New Roman" w:hAnsi="Times New Roman" w:cs="Times New Roman"/>
      <w:i/>
      <w:color w:val="000000"/>
      <w:sz w:val="26"/>
    </w:rPr>
  </w:style>
  <w:style w:type="character" w:customStyle="1" w:styleId="Heading7Char">
    <w:name w:val="Heading 7 Char"/>
    <w:link w:val="Heading7"/>
    <w:uiPriority w:val="9"/>
    <w:qFormat/>
    <w:rPr>
      <w:rFonts w:ascii="Times New Roman" w:eastAsia="Times New Roman" w:hAnsi="Times New Roman" w:cs="Times New Roman"/>
      <w:i/>
      <w:color w:val="000000"/>
      <w:sz w:val="26"/>
    </w:rPr>
  </w:style>
  <w:style w:type="character" w:customStyle="1" w:styleId="Heading1Char">
    <w:name w:val="Heading 1 Char"/>
    <w:link w:val="Heading1"/>
    <w:uiPriority w:val="9"/>
    <w:qFormat/>
    <w:rPr>
      <w:rFonts w:ascii="Times New Roman Bold" w:hAnsi="Times New Roman Bold"/>
      <w:b/>
      <w:caps/>
      <w:color w:val="000000"/>
      <w:sz w:val="28"/>
      <w:szCs w:val="22"/>
    </w:rPr>
  </w:style>
  <w:style w:type="character" w:customStyle="1" w:styleId="NoSpacingChar">
    <w:name w:val="No Spacing Char"/>
    <w:link w:val="NoSpacing"/>
    <w:uiPriority w:val="1"/>
    <w:qFormat/>
    <w:rPr>
      <w:rFonts w:ascii="Aptos" w:hAnsi="Aptos"/>
      <w:sz w:val="22"/>
      <w:szCs w:val="22"/>
    </w:rPr>
  </w:style>
  <w:style w:type="paragraph" w:styleId="NoSpacing">
    <w:name w:val="No Spacing"/>
    <w:link w:val="NoSpacingChar"/>
    <w:uiPriority w:val="1"/>
    <w:qFormat/>
    <w:pPr>
      <w:suppressAutoHyphens/>
    </w:pPr>
    <w:rPr>
      <w:rFonts w:ascii="Aptos" w:hAnsi="Aptos"/>
      <w:sz w:val="22"/>
      <w:szCs w:val="22"/>
    </w:rPr>
  </w:style>
  <w:style w:type="character" w:customStyle="1" w:styleId="FooterChar">
    <w:name w:val="Footer Char"/>
    <w:link w:val="Footer"/>
    <w:uiPriority w:val="99"/>
    <w:qFormat/>
    <w:rPr>
      <w:rFonts w:ascii="Times New Roman" w:hAnsi="Times New Roman"/>
      <w:color w:val="000000"/>
      <w:sz w:val="26"/>
      <w:szCs w:val="22"/>
    </w:rPr>
  </w:style>
  <w:style w:type="character" w:customStyle="1" w:styleId="DMBChar">
    <w:name w:val="DMB Char"/>
    <w:link w:val="DMB"/>
    <w:qFormat/>
    <w:rPr>
      <w:rFonts w:ascii="Times New Roman" w:hAnsi="Times New Roman"/>
      <w:b/>
      <w:bCs/>
      <w:i/>
      <w:color w:val="000000"/>
      <w:sz w:val="26"/>
      <w:szCs w:val="22"/>
    </w:rPr>
  </w:style>
  <w:style w:type="paragraph" w:customStyle="1" w:styleId="DMB">
    <w:name w:val="DMB"/>
    <w:basedOn w:val="Normal"/>
    <w:link w:val="DMBChar"/>
    <w:qFormat/>
    <w:pPr>
      <w:jc w:val="center"/>
    </w:pPr>
    <w:rPr>
      <w:b/>
      <w:bCs/>
      <w:i/>
    </w:rPr>
  </w:style>
  <w:style w:type="character" w:customStyle="1" w:styleId="UnresolvedMention1">
    <w:name w:val="Unresolved Mention1"/>
    <w:uiPriority w:val="99"/>
    <w:semiHidden/>
    <w:unhideWhenUsed/>
    <w:qFormat/>
    <w:rPr>
      <w:color w:val="605E5C"/>
      <w:shd w:val="clear" w:color="auto" w:fill="E1DFDD"/>
    </w:rPr>
  </w:style>
  <w:style w:type="character" w:customStyle="1" w:styleId="Heading8Char">
    <w:name w:val="Heading 8 Char"/>
    <w:link w:val="Heading8"/>
    <w:uiPriority w:val="9"/>
    <w:semiHidden/>
    <w:qFormat/>
    <w:rPr>
      <w:rFonts w:ascii="Aptos" w:hAnsi="Aptos"/>
      <w:i/>
      <w:iCs/>
      <w:color w:val="272727"/>
      <w:kern w:val="2"/>
      <w:sz w:val="24"/>
      <w:szCs w:val="24"/>
    </w:rPr>
  </w:style>
  <w:style w:type="character" w:customStyle="1" w:styleId="Heading9Char">
    <w:name w:val="Heading 9 Char"/>
    <w:link w:val="Heading9"/>
    <w:uiPriority w:val="9"/>
    <w:semiHidden/>
    <w:qFormat/>
    <w:rPr>
      <w:rFonts w:ascii="Aptos" w:hAnsi="Aptos"/>
      <w:color w:val="272727"/>
      <w:kern w:val="2"/>
      <w:sz w:val="24"/>
      <w:szCs w:val="24"/>
    </w:rPr>
  </w:style>
  <w:style w:type="character" w:customStyle="1" w:styleId="TitleChar">
    <w:name w:val="Title Char"/>
    <w:link w:val="Title"/>
    <w:uiPriority w:val="10"/>
    <w:qFormat/>
    <w:rPr>
      <w:rFonts w:ascii="Aptos Display" w:hAnsi="Aptos Display"/>
      <w:spacing w:val="-10"/>
      <w:kern w:val="2"/>
      <w:sz w:val="56"/>
      <w:szCs w:val="56"/>
    </w:rPr>
  </w:style>
  <w:style w:type="character" w:customStyle="1" w:styleId="SubtitleChar">
    <w:name w:val="Subtitle Char"/>
    <w:link w:val="Subtitle"/>
    <w:uiPriority w:val="11"/>
    <w:qFormat/>
    <w:rPr>
      <w:rFonts w:ascii="Aptos" w:hAnsi="Aptos"/>
      <w:color w:val="595959"/>
      <w:spacing w:val="15"/>
      <w:kern w:val="2"/>
      <w:sz w:val="28"/>
      <w:szCs w:val="28"/>
    </w:rPr>
  </w:style>
  <w:style w:type="character" w:customStyle="1" w:styleId="QuoteChar">
    <w:name w:val="Quote Char"/>
    <w:link w:val="Quote"/>
    <w:uiPriority w:val="29"/>
    <w:qFormat/>
    <w:rPr>
      <w:rFonts w:ascii="Aptos" w:eastAsia="Aptos" w:hAnsi="Aptos"/>
      <w:i/>
      <w:iCs/>
      <w:color w:val="404040"/>
      <w:kern w:val="2"/>
      <w:sz w:val="24"/>
      <w:szCs w:val="24"/>
    </w:rPr>
  </w:style>
  <w:style w:type="paragraph" w:styleId="Quote">
    <w:name w:val="Quote"/>
    <w:basedOn w:val="Normal"/>
    <w:next w:val="Normal"/>
    <w:link w:val="QuoteChar"/>
    <w:uiPriority w:val="29"/>
    <w:qFormat/>
    <w:pPr>
      <w:spacing w:before="160" w:after="160" w:line="278" w:lineRule="auto"/>
      <w:ind w:firstLine="0"/>
      <w:jc w:val="center"/>
    </w:pPr>
    <w:rPr>
      <w:rFonts w:ascii="Aptos" w:eastAsia="Aptos" w:hAnsi="Aptos"/>
      <w:i/>
      <w:iCs/>
      <w:color w:val="404040"/>
      <w:kern w:val="2"/>
      <w:sz w:val="24"/>
      <w:szCs w:val="24"/>
    </w:rPr>
  </w:style>
  <w:style w:type="character" w:customStyle="1" w:styleId="IntenseEmphasis1">
    <w:name w:val="Intense Emphasis1"/>
    <w:uiPriority w:val="21"/>
    <w:qFormat/>
    <w:rPr>
      <w:i/>
      <w:iCs/>
      <w:color w:val="0F4761"/>
    </w:rPr>
  </w:style>
  <w:style w:type="character" w:customStyle="1" w:styleId="IntenseQuoteChar">
    <w:name w:val="Intense Quote Char"/>
    <w:link w:val="IntenseQuote"/>
    <w:uiPriority w:val="30"/>
    <w:qFormat/>
    <w:rPr>
      <w:rFonts w:ascii="Aptos" w:eastAsia="Aptos" w:hAnsi="Aptos"/>
      <w:i/>
      <w:iCs/>
      <w:color w:val="0F4761"/>
      <w:kern w:val="2"/>
      <w:sz w:val="24"/>
      <w:szCs w:val="24"/>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line="278" w:lineRule="auto"/>
      <w:ind w:left="864" w:right="864" w:firstLine="0"/>
      <w:jc w:val="center"/>
    </w:pPr>
    <w:rPr>
      <w:rFonts w:ascii="Aptos" w:eastAsia="Aptos" w:hAnsi="Aptos"/>
      <w:i/>
      <w:iCs/>
      <w:color w:val="0F4761"/>
      <w:kern w:val="2"/>
      <w:sz w:val="24"/>
      <w:szCs w:val="24"/>
    </w:rPr>
  </w:style>
  <w:style w:type="character" w:customStyle="1" w:styleId="IntenseReference1">
    <w:name w:val="Intense Reference1"/>
    <w:uiPriority w:val="32"/>
    <w:qFormat/>
    <w:rPr>
      <w:b/>
      <w:bCs/>
      <w:smallCaps/>
      <w:color w:val="0F4761"/>
      <w:spacing w:val="5"/>
    </w:rPr>
  </w:style>
  <w:style w:type="character" w:customStyle="1" w:styleId="BalloonTextChar">
    <w:name w:val="Balloon Text Char"/>
    <w:basedOn w:val="DefaultParagraphFont"/>
    <w:link w:val="BalloonText"/>
    <w:uiPriority w:val="99"/>
    <w:semiHidden/>
    <w:qFormat/>
    <w:rPr>
      <w:rFonts w:ascii="Tahoma" w:hAnsi="Tahoma" w:cs="Tahoma"/>
      <w:color w:val="000000"/>
      <w:sz w:val="16"/>
      <w:szCs w:val="16"/>
    </w:rPr>
  </w:style>
  <w:style w:type="character" w:customStyle="1" w:styleId="HeaderChar">
    <w:name w:val="Header Char"/>
    <w:basedOn w:val="DefaultParagraphFont"/>
    <w:link w:val="Header"/>
    <w:uiPriority w:val="99"/>
    <w:qFormat/>
    <w:rPr>
      <w:rFonts w:ascii="Times New Roman" w:hAnsi="Times New Roman"/>
      <w:color w:val="000000"/>
      <w:sz w:val="28"/>
      <w:szCs w:val="22"/>
    </w:rPr>
  </w:style>
  <w:style w:type="character" w:customStyle="1" w:styleId="UnresolvedMention">
    <w:name w:val="Unresolved Mention"/>
    <w:basedOn w:val="DefaultParagraphFont"/>
    <w:uiPriority w:val="99"/>
    <w:semiHidden/>
    <w:unhideWhenUsed/>
    <w:qFormat/>
    <w:rPr>
      <w:color w:val="605E5C"/>
      <w:shd w:val="clear" w:color="auto" w:fill="E1DFDD"/>
    </w:rPr>
  </w:style>
  <w:style w:type="character" w:customStyle="1" w:styleId="IndexLink">
    <w:name w:val="Index Link"/>
    <w:qFormat/>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customStyle="1" w:styleId="TOCHeading1">
    <w:name w:val="TOC Heading1"/>
    <w:basedOn w:val="Heading1"/>
    <w:next w:val="Normal"/>
    <w:uiPriority w:val="39"/>
    <w:unhideWhenUsed/>
    <w:qFormat/>
    <w:pPr>
      <w:spacing w:before="240" w:line="259" w:lineRule="auto"/>
      <w:ind w:firstLine="0"/>
      <w:jc w:val="left"/>
      <w:outlineLvl w:val="9"/>
    </w:pPr>
    <w:rPr>
      <w:rFonts w:ascii="Aptos Display" w:hAnsi="Aptos Display"/>
      <w:b w:val="0"/>
      <w:caps w:val="0"/>
      <w:color w:val="0F4761"/>
      <w:sz w:val="32"/>
      <w:szCs w:val="32"/>
    </w:rPr>
  </w:style>
  <w:style w:type="paragraph" w:styleId="ListParagraph">
    <w:name w:val="List Paragraph"/>
    <w:basedOn w:val="Normal"/>
    <w:uiPriority w:val="34"/>
    <w:qFormat/>
    <w:pPr>
      <w:ind w:left="720"/>
      <w:contextualSpacing/>
    </w:pPr>
  </w:style>
  <w:style w:type="paragraph" w:customStyle="1" w:styleId="FrameContents">
    <w:name w:val="Frame Contents"/>
    <w:basedOn w:val="Normal"/>
    <w:qFormat/>
  </w:style>
  <w:style w:type="table" w:customStyle="1" w:styleId="TableGrid0">
    <w:name w:val="TableGrid"/>
    <w:rPr>
      <w:sz w:val="22"/>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uiPriority="9" w:qFormat="1"/>
    <w:lsdException w:name="heading 8" w:uiPriority="9" w:qFormat="1"/>
    <w:lsdException w:name="heading 9" w:uiPriority="9" w:qFormat="1"/>
    <w:lsdException w:name="toc 1" w:uiPriority="39" w:unhideWhenUsed="0"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er" w:qFormat="1"/>
    <w:lsdException w:name="index heading" w:uiPriority="0" w:unhideWhenUsed="0" w:qFormat="1"/>
    <w:lsdException w:name="caption" w:uiPriority="35" w:qFormat="1"/>
    <w:lsdException w:name="table of figures" w:qFormat="1"/>
    <w:lsdException w:name="line number" w:qFormat="1"/>
    <w:lsdException w:name="page number" w:qFormat="1"/>
    <w:lsdException w:name="List"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3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360" w:lineRule="auto"/>
      <w:ind w:firstLine="567"/>
      <w:jc w:val="both"/>
    </w:pPr>
    <w:rPr>
      <w:rFonts w:ascii="Times New Roman" w:hAnsi="Times New Roman"/>
      <w:color w:val="000000"/>
      <w:sz w:val="26"/>
      <w:szCs w:val="22"/>
    </w:rPr>
  </w:style>
  <w:style w:type="paragraph" w:styleId="Heading1">
    <w:name w:val="heading 1"/>
    <w:next w:val="Normal"/>
    <w:link w:val="Heading1Char"/>
    <w:uiPriority w:val="9"/>
    <w:unhideWhenUsed/>
    <w:qFormat/>
    <w:pPr>
      <w:keepNext/>
      <w:keepLines/>
      <w:suppressAutoHyphens/>
      <w:spacing w:line="360" w:lineRule="auto"/>
      <w:ind w:firstLine="567"/>
      <w:jc w:val="center"/>
      <w:outlineLvl w:val="0"/>
    </w:pPr>
    <w:rPr>
      <w:rFonts w:ascii="Times New Roman Bold" w:hAnsi="Times New Roman Bold"/>
      <w:b/>
      <w:caps/>
      <w:color w:val="000000"/>
      <w:sz w:val="28"/>
      <w:szCs w:val="22"/>
    </w:rPr>
  </w:style>
  <w:style w:type="paragraph" w:styleId="Heading2">
    <w:name w:val="heading 2"/>
    <w:next w:val="Normal"/>
    <w:link w:val="Heading2Char"/>
    <w:autoRedefine/>
    <w:uiPriority w:val="9"/>
    <w:unhideWhenUsed/>
    <w:qFormat/>
    <w:rsid w:val="007B644D"/>
    <w:pPr>
      <w:keepNext/>
      <w:keepLines/>
      <w:suppressAutoHyphens/>
      <w:spacing w:line="360" w:lineRule="auto"/>
      <w:jc w:val="both"/>
      <w:outlineLvl w:val="1"/>
    </w:pPr>
    <w:rPr>
      <w:rFonts w:ascii="Times New Roman" w:hAnsi="Times New Roman"/>
      <w:b/>
      <w:bCs/>
      <w:spacing w:val="-8"/>
      <w:sz w:val="26"/>
      <w:szCs w:val="26"/>
      <w:shd w:val="clear" w:color="auto" w:fill="FFFFFF"/>
    </w:rPr>
  </w:style>
  <w:style w:type="paragraph" w:styleId="Heading3">
    <w:name w:val="heading 3"/>
    <w:next w:val="Normal"/>
    <w:link w:val="Heading3Char"/>
    <w:autoRedefine/>
    <w:uiPriority w:val="9"/>
    <w:unhideWhenUsed/>
    <w:qFormat/>
    <w:rsid w:val="00021C6B"/>
    <w:pPr>
      <w:keepNext/>
      <w:keepLines/>
      <w:suppressAutoHyphens/>
      <w:spacing w:line="360" w:lineRule="auto"/>
      <w:jc w:val="both"/>
      <w:outlineLvl w:val="2"/>
    </w:pPr>
    <w:rPr>
      <w:rFonts w:ascii="Times New Roman Italic" w:hAnsi="Times New Roman Italic"/>
      <w:b/>
      <w:bCs/>
      <w:i/>
      <w:sz w:val="26"/>
      <w:szCs w:val="22"/>
    </w:rPr>
  </w:style>
  <w:style w:type="paragraph" w:styleId="Heading4">
    <w:name w:val="heading 4"/>
    <w:next w:val="Normal"/>
    <w:link w:val="Heading4Char"/>
    <w:autoRedefine/>
    <w:uiPriority w:val="9"/>
    <w:unhideWhenUsed/>
    <w:qFormat/>
    <w:rsid w:val="00021C6B"/>
    <w:pPr>
      <w:keepNext/>
      <w:keepLines/>
      <w:suppressAutoHyphens/>
      <w:spacing w:line="360" w:lineRule="auto"/>
      <w:jc w:val="both"/>
      <w:outlineLvl w:val="3"/>
    </w:pPr>
    <w:rPr>
      <w:rFonts w:ascii="Times New Roman" w:hAnsi="Times New Roman"/>
      <w:i/>
      <w:iCs/>
      <w:color w:val="000000" w:themeColor="text1"/>
      <w:sz w:val="28"/>
      <w:szCs w:val="22"/>
    </w:rPr>
  </w:style>
  <w:style w:type="paragraph" w:styleId="Heading5">
    <w:name w:val="heading 5"/>
    <w:next w:val="Normal"/>
    <w:link w:val="Heading5Char"/>
    <w:uiPriority w:val="9"/>
    <w:unhideWhenUsed/>
    <w:qFormat/>
    <w:pPr>
      <w:keepNext/>
      <w:keepLines/>
      <w:suppressAutoHyphens/>
      <w:spacing w:after="183" w:line="259" w:lineRule="auto"/>
      <w:ind w:left="4131" w:right="233" w:hanging="10"/>
      <w:jc w:val="right"/>
      <w:outlineLvl w:val="4"/>
    </w:pPr>
    <w:rPr>
      <w:rFonts w:ascii="Times New Roman" w:hAnsi="Times New Roman"/>
      <w:i/>
      <w:color w:val="000000"/>
      <w:sz w:val="26"/>
      <w:szCs w:val="22"/>
    </w:rPr>
  </w:style>
  <w:style w:type="paragraph" w:styleId="Heading6">
    <w:name w:val="heading 6"/>
    <w:next w:val="Normal"/>
    <w:link w:val="Heading6Char"/>
    <w:uiPriority w:val="9"/>
    <w:unhideWhenUsed/>
    <w:qFormat/>
    <w:pPr>
      <w:keepNext/>
      <w:keepLines/>
      <w:suppressAutoHyphens/>
      <w:spacing w:line="259" w:lineRule="auto"/>
      <w:ind w:left="5434" w:hanging="10"/>
      <w:jc w:val="center"/>
      <w:outlineLvl w:val="5"/>
    </w:pPr>
    <w:rPr>
      <w:rFonts w:ascii="Times New Roman" w:hAnsi="Times New Roman"/>
      <w:b/>
      <w:color w:val="000000"/>
      <w:sz w:val="26"/>
      <w:szCs w:val="22"/>
    </w:rPr>
  </w:style>
  <w:style w:type="paragraph" w:styleId="Heading7">
    <w:name w:val="heading 7"/>
    <w:next w:val="Normal"/>
    <w:link w:val="Heading7Char"/>
    <w:uiPriority w:val="9"/>
    <w:unhideWhenUsed/>
    <w:qFormat/>
    <w:pPr>
      <w:keepNext/>
      <w:keepLines/>
      <w:suppressAutoHyphens/>
      <w:spacing w:after="183" w:line="259" w:lineRule="auto"/>
      <w:ind w:left="4131" w:right="233" w:hanging="10"/>
      <w:jc w:val="right"/>
      <w:outlineLvl w:val="6"/>
    </w:pPr>
    <w:rPr>
      <w:rFonts w:ascii="Times New Roman" w:hAnsi="Times New Roman"/>
      <w:i/>
      <w:color w:val="000000"/>
      <w:sz w:val="26"/>
      <w:szCs w:val="22"/>
    </w:rPr>
  </w:style>
  <w:style w:type="paragraph" w:styleId="Heading8">
    <w:name w:val="heading 8"/>
    <w:basedOn w:val="Normal"/>
    <w:next w:val="Normal"/>
    <w:link w:val="Heading8Char"/>
    <w:uiPriority w:val="9"/>
    <w:semiHidden/>
    <w:unhideWhenUsed/>
    <w:qFormat/>
    <w:pPr>
      <w:keepNext/>
      <w:keepLines/>
      <w:spacing w:line="278" w:lineRule="auto"/>
      <w:ind w:firstLine="0"/>
      <w:jc w:val="left"/>
      <w:outlineLvl w:val="7"/>
    </w:pPr>
    <w:rPr>
      <w:rFonts w:ascii="Aptos" w:hAnsi="Aptos"/>
      <w:i/>
      <w:iCs/>
      <w:color w:val="272727"/>
      <w:kern w:val="2"/>
      <w:sz w:val="24"/>
      <w:szCs w:val="24"/>
    </w:rPr>
  </w:style>
  <w:style w:type="paragraph" w:styleId="Heading9">
    <w:name w:val="heading 9"/>
    <w:basedOn w:val="Normal"/>
    <w:next w:val="Normal"/>
    <w:link w:val="Heading9Char"/>
    <w:uiPriority w:val="9"/>
    <w:semiHidden/>
    <w:unhideWhenUsed/>
    <w:qFormat/>
    <w:pPr>
      <w:keepNext/>
      <w:keepLines/>
      <w:spacing w:line="278" w:lineRule="auto"/>
      <w:ind w:firstLine="0"/>
      <w:jc w:val="left"/>
      <w:outlineLvl w:val="8"/>
    </w:pPr>
    <w:rPr>
      <w:rFonts w:ascii="Aptos" w:hAnsi="Aptos"/>
      <w:color w:val="272727"/>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line="240" w:lineRule="auto"/>
    </w:pPr>
    <w:rPr>
      <w:rFonts w:ascii="Tahoma" w:hAnsi="Tahoma" w:cs="Tahoma"/>
      <w:sz w:val="16"/>
      <w:szCs w:val="16"/>
    </w:rPr>
  </w:style>
  <w:style w:type="paragraph" w:styleId="BodyText">
    <w:name w:val="Body Text"/>
    <w:basedOn w:val="Normal"/>
    <w:qFormat/>
    <w:pPr>
      <w:spacing w:after="140" w:line="276" w:lineRule="auto"/>
    </w:pPr>
  </w:style>
  <w:style w:type="paragraph" w:styleId="Caption">
    <w:name w:val="caption"/>
    <w:basedOn w:val="Normal"/>
    <w:next w:val="Normal"/>
    <w:uiPriority w:val="35"/>
    <w:unhideWhenUsed/>
    <w:qFormat/>
    <w:pPr>
      <w:ind w:firstLine="0"/>
    </w:pPr>
    <w:rPr>
      <w:b/>
      <w:bCs/>
      <w:szCs w:val="20"/>
    </w:rPr>
  </w:style>
  <w:style w:type="character" w:styleId="Emphasis">
    <w:name w:val="Emphasis"/>
    <w:uiPriority w:val="20"/>
    <w:qFormat/>
    <w:rPr>
      <w:i/>
      <w:i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pPr>
      <w:tabs>
        <w:tab w:val="center" w:pos="4680"/>
        <w:tab w:val="right" w:pos="9360"/>
      </w:tabs>
      <w:spacing w:line="240" w:lineRule="auto"/>
    </w:pPr>
  </w:style>
  <w:style w:type="character" w:styleId="Hyperlink">
    <w:name w:val="Hyperlink"/>
    <w:uiPriority w:val="99"/>
    <w:unhideWhenUsed/>
    <w:qFormat/>
    <w:rPr>
      <w:color w:val="467886"/>
      <w:u w:val="single"/>
    </w:rPr>
  </w:style>
  <w:style w:type="paragraph" w:styleId="IndexHeading">
    <w:name w:val="index heading"/>
    <w:basedOn w:val="Heading"/>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character" w:styleId="LineNumber">
    <w:name w:val="line number"/>
    <w:basedOn w:val="DefaultParagraphFont"/>
    <w:uiPriority w:val="99"/>
    <w:semiHidden/>
    <w:unhideWhenUsed/>
    <w:qFormat/>
  </w:style>
  <w:style w:type="paragraph" w:styleId="List">
    <w:name w:val="List"/>
    <w:basedOn w:val="BodyText"/>
    <w:qFormat/>
    <w:rPr>
      <w:rFonts w:cs="Lohit Devanagari"/>
    </w:rPr>
  </w:style>
  <w:style w:type="paragraph" w:styleId="NormalWeb">
    <w:name w:val="Normal (Web)"/>
    <w:basedOn w:val="Normal"/>
    <w:uiPriority w:val="99"/>
    <w:semiHidden/>
    <w:unhideWhenUsed/>
    <w:qFormat/>
    <w:pPr>
      <w:spacing w:beforeAutospacing="1" w:afterAutospacing="1" w:line="240" w:lineRule="auto"/>
      <w:ind w:firstLine="0"/>
      <w:jc w:val="left"/>
    </w:pPr>
    <w:rPr>
      <w:color w:val="auto"/>
      <w:sz w:val="24"/>
      <w:szCs w:val="24"/>
    </w:rPr>
  </w:style>
  <w:style w:type="character" w:styleId="PageNumber">
    <w:name w:val="page number"/>
    <w:basedOn w:val="DefaultParagraphFont"/>
    <w:uiPriority w:val="99"/>
    <w:semiHidden/>
    <w:unhideWhenUsed/>
    <w:qFormat/>
  </w:style>
  <w:style w:type="character" w:styleId="Strong">
    <w:name w:val="Strong"/>
    <w:uiPriority w:val="22"/>
    <w:qFormat/>
    <w:rPr>
      <w:b/>
      <w:bCs/>
    </w:rPr>
  </w:style>
  <w:style w:type="paragraph" w:styleId="Subtitle">
    <w:name w:val="Subtitle"/>
    <w:basedOn w:val="Normal"/>
    <w:next w:val="Normal"/>
    <w:link w:val="SubtitleChar"/>
    <w:uiPriority w:val="11"/>
    <w:qFormat/>
    <w:pPr>
      <w:spacing w:after="160" w:line="278" w:lineRule="auto"/>
      <w:jc w:val="left"/>
    </w:pPr>
    <w:rPr>
      <w:rFonts w:ascii="Aptos" w:hAnsi="Aptos"/>
      <w:color w:val="595959"/>
      <w:spacing w:val="15"/>
      <w:kern w:val="2"/>
      <w:szCs w:val="2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ind w:left="520" w:hanging="520"/>
      <w:jc w:val="left"/>
    </w:pPr>
    <w:rPr>
      <w:rFonts w:asciiTheme="minorHAnsi" w:hAnsiTheme="minorHAnsi"/>
      <w:caps/>
      <w:sz w:val="20"/>
      <w:szCs w:val="20"/>
    </w:rPr>
  </w:style>
  <w:style w:type="paragraph" w:styleId="Title">
    <w:name w:val="Title"/>
    <w:basedOn w:val="Normal"/>
    <w:next w:val="Normal"/>
    <w:link w:val="TitleChar"/>
    <w:uiPriority w:val="10"/>
    <w:qFormat/>
    <w:pPr>
      <w:spacing w:after="80" w:line="240" w:lineRule="auto"/>
      <w:ind w:firstLine="0"/>
      <w:contextualSpacing/>
      <w:jc w:val="left"/>
    </w:pPr>
    <w:rPr>
      <w:rFonts w:ascii="Aptos Display" w:hAnsi="Aptos Display"/>
      <w:color w:val="auto"/>
      <w:spacing w:val="-10"/>
      <w:kern w:val="2"/>
      <w:sz w:val="56"/>
      <w:szCs w:val="56"/>
    </w:rPr>
  </w:style>
  <w:style w:type="paragraph" w:styleId="TOC1">
    <w:name w:val="toc 1"/>
    <w:uiPriority w:val="39"/>
    <w:qFormat/>
    <w:pPr>
      <w:suppressAutoHyphens/>
      <w:spacing w:after="20" w:line="307" w:lineRule="auto"/>
      <w:ind w:left="298" w:right="36"/>
      <w:jc w:val="both"/>
    </w:pPr>
    <w:rPr>
      <w:rFonts w:ascii="Times New Roman" w:hAnsi="Times New Roman"/>
      <w:color w:val="000000"/>
      <w:sz w:val="26"/>
      <w:szCs w:val="22"/>
    </w:rPr>
  </w:style>
  <w:style w:type="paragraph" w:styleId="TOC2">
    <w:name w:val="toc 2"/>
    <w:basedOn w:val="Normal"/>
    <w:next w:val="Normal"/>
    <w:autoRedefine/>
    <w:uiPriority w:val="39"/>
    <w:unhideWhenUsed/>
    <w:qFormat/>
    <w:pPr>
      <w:tabs>
        <w:tab w:val="right" w:leader="dot" w:pos="8829"/>
      </w:tabs>
      <w:ind w:left="260"/>
    </w:pPr>
    <w:rPr>
      <w:bCs/>
    </w:rPr>
  </w:style>
  <w:style w:type="paragraph" w:styleId="TOC3">
    <w:name w:val="toc 3"/>
    <w:basedOn w:val="Normal"/>
    <w:next w:val="Normal"/>
    <w:autoRedefine/>
    <w:uiPriority w:val="39"/>
    <w:unhideWhenUsed/>
    <w:qFormat/>
    <w:pPr>
      <w:ind w:left="520"/>
    </w:pPr>
  </w:style>
  <w:style w:type="paragraph" w:styleId="TOC4">
    <w:name w:val="toc 4"/>
    <w:basedOn w:val="Normal"/>
    <w:next w:val="Normal"/>
    <w:autoRedefine/>
    <w:uiPriority w:val="39"/>
    <w:unhideWhenUsed/>
    <w:qFormat/>
    <w:pPr>
      <w:spacing w:after="100" w:line="278" w:lineRule="auto"/>
      <w:ind w:left="720" w:firstLine="0"/>
      <w:jc w:val="left"/>
    </w:pPr>
    <w:rPr>
      <w:rFonts w:ascii="Aptos" w:hAnsi="Aptos"/>
      <w:color w:val="auto"/>
      <w:kern w:val="2"/>
      <w:sz w:val="24"/>
      <w:szCs w:val="24"/>
    </w:rPr>
  </w:style>
  <w:style w:type="paragraph" w:styleId="TOC5">
    <w:name w:val="toc 5"/>
    <w:basedOn w:val="Normal"/>
    <w:next w:val="Normal"/>
    <w:autoRedefine/>
    <w:uiPriority w:val="39"/>
    <w:unhideWhenUsed/>
    <w:qFormat/>
    <w:pPr>
      <w:spacing w:after="100" w:line="278" w:lineRule="auto"/>
      <w:ind w:left="960" w:firstLine="0"/>
      <w:jc w:val="left"/>
    </w:pPr>
    <w:rPr>
      <w:rFonts w:ascii="Aptos" w:hAnsi="Aptos"/>
      <w:color w:val="auto"/>
      <w:kern w:val="2"/>
      <w:sz w:val="24"/>
      <w:szCs w:val="24"/>
    </w:rPr>
  </w:style>
  <w:style w:type="paragraph" w:styleId="TOC6">
    <w:name w:val="toc 6"/>
    <w:basedOn w:val="Normal"/>
    <w:next w:val="Normal"/>
    <w:autoRedefine/>
    <w:uiPriority w:val="39"/>
    <w:unhideWhenUsed/>
    <w:qFormat/>
    <w:pPr>
      <w:spacing w:after="100" w:line="278" w:lineRule="auto"/>
      <w:ind w:left="1200" w:firstLine="0"/>
      <w:jc w:val="left"/>
    </w:pPr>
    <w:rPr>
      <w:rFonts w:ascii="Aptos" w:hAnsi="Aptos"/>
      <w:color w:val="auto"/>
      <w:kern w:val="2"/>
      <w:sz w:val="24"/>
      <w:szCs w:val="24"/>
    </w:rPr>
  </w:style>
  <w:style w:type="paragraph" w:styleId="TOC7">
    <w:name w:val="toc 7"/>
    <w:basedOn w:val="Normal"/>
    <w:next w:val="Normal"/>
    <w:autoRedefine/>
    <w:uiPriority w:val="39"/>
    <w:unhideWhenUsed/>
    <w:qFormat/>
    <w:pPr>
      <w:spacing w:after="100" w:line="278" w:lineRule="auto"/>
      <w:ind w:left="1440" w:firstLine="0"/>
      <w:jc w:val="left"/>
    </w:pPr>
    <w:rPr>
      <w:rFonts w:ascii="Aptos" w:hAnsi="Aptos"/>
      <w:color w:val="auto"/>
      <w:kern w:val="2"/>
      <w:sz w:val="24"/>
      <w:szCs w:val="24"/>
    </w:rPr>
  </w:style>
  <w:style w:type="paragraph" w:styleId="TOC8">
    <w:name w:val="toc 8"/>
    <w:basedOn w:val="Normal"/>
    <w:next w:val="Normal"/>
    <w:autoRedefine/>
    <w:uiPriority w:val="39"/>
    <w:unhideWhenUsed/>
    <w:qFormat/>
    <w:pPr>
      <w:spacing w:after="100" w:line="278" w:lineRule="auto"/>
      <w:ind w:left="1680" w:firstLine="0"/>
      <w:jc w:val="left"/>
    </w:pPr>
    <w:rPr>
      <w:rFonts w:ascii="Aptos" w:hAnsi="Aptos"/>
      <w:color w:val="auto"/>
      <w:kern w:val="2"/>
      <w:sz w:val="24"/>
      <w:szCs w:val="24"/>
    </w:rPr>
  </w:style>
  <w:style w:type="paragraph" w:styleId="TOC9">
    <w:name w:val="toc 9"/>
    <w:basedOn w:val="Normal"/>
    <w:next w:val="Normal"/>
    <w:autoRedefine/>
    <w:uiPriority w:val="39"/>
    <w:unhideWhenUsed/>
    <w:qFormat/>
    <w:pPr>
      <w:spacing w:after="100" w:line="278" w:lineRule="auto"/>
      <w:ind w:left="1920" w:firstLine="0"/>
      <w:jc w:val="left"/>
    </w:pPr>
    <w:rPr>
      <w:rFonts w:ascii="Aptos" w:hAnsi="Aptos"/>
      <w:color w:val="auto"/>
      <w:kern w:val="2"/>
      <w:sz w:val="24"/>
      <w:szCs w:val="24"/>
    </w:rPr>
  </w:style>
  <w:style w:type="character" w:customStyle="1" w:styleId="Heading2Char">
    <w:name w:val="Heading 2 Char"/>
    <w:link w:val="Heading2"/>
    <w:uiPriority w:val="9"/>
    <w:qFormat/>
    <w:rsid w:val="007B644D"/>
    <w:rPr>
      <w:rFonts w:ascii="Times New Roman" w:hAnsi="Times New Roman"/>
      <w:b/>
      <w:bCs/>
      <w:spacing w:val="-8"/>
      <w:sz w:val="26"/>
      <w:szCs w:val="26"/>
    </w:rPr>
  </w:style>
  <w:style w:type="character" w:customStyle="1" w:styleId="Heading3Char">
    <w:name w:val="Heading 3 Char"/>
    <w:link w:val="Heading3"/>
    <w:uiPriority w:val="9"/>
    <w:qFormat/>
    <w:rsid w:val="00021C6B"/>
    <w:rPr>
      <w:rFonts w:ascii="Times New Roman Italic" w:hAnsi="Times New Roman Italic"/>
      <w:b/>
      <w:bCs/>
      <w:i/>
      <w:sz w:val="26"/>
      <w:szCs w:val="22"/>
    </w:rPr>
  </w:style>
  <w:style w:type="character" w:customStyle="1" w:styleId="Heading4Char">
    <w:name w:val="Heading 4 Char"/>
    <w:link w:val="Heading4"/>
    <w:uiPriority w:val="9"/>
    <w:qFormat/>
    <w:rsid w:val="00021C6B"/>
    <w:rPr>
      <w:rFonts w:ascii="Times New Roman" w:hAnsi="Times New Roman"/>
      <w:i/>
      <w:iCs/>
      <w:color w:val="000000" w:themeColor="text1"/>
      <w:sz w:val="28"/>
      <w:szCs w:val="22"/>
    </w:rPr>
  </w:style>
  <w:style w:type="character" w:customStyle="1" w:styleId="Heading6Char">
    <w:name w:val="Heading 6 Char"/>
    <w:link w:val="Heading6"/>
    <w:uiPriority w:val="9"/>
    <w:qFormat/>
    <w:rPr>
      <w:rFonts w:ascii="Times New Roman" w:eastAsia="Times New Roman" w:hAnsi="Times New Roman" w:cs="Times New Roman"/>
      <w:b/>
      <w:color w:val="000000"/>
      <w:sz w:val="26"/>
    </w:rPr>
  </w:style>
  <w:style w:type="character" w:customStyle="1" w:styleId="Heading5Char">
    <w:name w:val="Heading 5 Char"/>
    <w:link w:val="Heading5"/>
    <w:uiPriority w:val="9"/>
    <w:qFormat/>
    <w:rPr>
      <w:rFonts w:ascii="Times New Roman" w:eastAsia="Times New Roman" w:hAnsi="Times New Roman" w:cs="Times New Roman"/>
      <w:i/>
      <w:color w:val="000000"/>
      <w:sz w:val="26"/>
    </w:rPr>
  </w:style>
  <w:style w:type="character" w:customStyle="1" w:styleId="Heading7Char">
    <w:name w:val="Heading 7 Char"/>
    <w:link w:val="Heading7"/>
    <w:uiPriority w:val="9"/>
    <w:qFormat/>
    <w:rPr>
      <w:rFonts w:ascii="Times New Roman" w:eastAsia="Times New Roman" w:hAnsi="Times New Roman" w:cs="Times New Roman"/>
      <w:i/>
      <w:color w:val="000000"/>
      <w:sz w:val="26"/>
    </w:rPr>
  </w:style>
  <w:style w:type="character" w:customStyle="1" w:styleId="Heading1Char">
    <w:name w:val="Heading 1 Char"/>
    <w:link w:val="Heading1"/>
    <w:uiPriority w:val="9"/>
    <w:qFormat/>
    <w:rPr>
      <w:rFonts w:ascii="Times New Roman Bold" w:hAnsi="Times New Roman Bold"/>
      <w:b/>
      <w:caps/>
      <w:color w:val="000000"/>
      <w:sz w:val="28"/>
      <w:szCs w:val="22"/>
    </w:rPr>
  </w:style>
  <w:style w:type="character" w:customStyle="1" w:styleId="NoSpacingChar">
    <w:name w:val="No Spacing Char"/>
    <w:link w:val="NoSpacing"/>
    <w:uiPriority w:val="1"/>
    <w:qFormat/>
    <w:rPr>
      <w:rFonts w:ascii="Aptos" w:hAnsi="Aptos"/>
      <w:sz w:val="22"/>
      <w:szCs w:val="22"/>
    </w:rPr>
  </w:style>
  <w:style w:type="paragraph" w:styleId="NoSpacing">
    <w:name w:val="No Spacing"/>
    <w:link w:val="NoSpacingChar"/>
    <w:uiPriority w:val="1"/>
    <w:qFormat/>
    <w:pPr>
      <w:suppressAutoHyphens/>
    </w:pPr>
    <w:rPr>
      <w:rFonts w:ascii="Aptos" w:hAnsi="Aptos"/>
      <w:sz w:val="22"/>
      <w:szCs w:val="22"/>
    </w:rPr>
  </w:style>
  <w:style w:type="character" w:customStyle="1" w:styleId="FooterChar">
    <w:name w:val="Footer Char"/>
    <w:link w:val="Footer"/>
    <w:uiPriority w:val="99"/>
    <w:qFormat/>
    <w:rPr>
      <w:rFonts w:ascii="Times New Roman" w:hAnsi="Times New Roman"/>
      <w:color w:val="000000"/>
      <w:sz w:val="26"/>
      <w:szCs w:val="22"/>
    </w:rPr>
  </w:style>
  <w:style w:type="character" w:customStyle="1" w:styleId="DMBChar">
    <w:name w:val="DMB Char"/>
    <w:link w:val="DMB"/>
    <w:qFormat/>
    <w:rPr>
      <w:rFonts w:ascii="Times New Roman" w:hAnsi="Times New Roman"/>
      <w:b/>
      <w:bCs/>
      <w:i/>
      <w:color w:val="000000"/>
      <w:sz w:val="26"/>
      <w:szCs w:val="22"/>
    </w:rPr>
  </w:style>
  <w:style w:type="paragraph" w:customStyle="1" w:styleId="DMB">
    <w:name w:val="DMB"/>
    <w:basedOn w:val="Normal"/>
    <w:link w:val="DMBChar"/>
    <w:qFormat/>
    <w:pPr>
      <w:jc w:val="center"/>
    </w:pPr>
    <w:rPr>
      <w:b/>
      <w:bCs/>
      <w:i/>
    </w:rPr>
  </w:style>
  <w:style w:type="character" w:customStyle="1" w:styleId="UnresolvedMention1">
    <w:name w:val="Unresolved Mention1"/>
    <w:uiPriority w:val="99"/>
    <w:semiHidden/>
    <w:unhideWhenUsed/>
    <w:qFormat/>
    <w:rPr>
      <w:color w:val="605E5C"/>
      <w:shd w:val="clear" w:color="auto" w:fill="E1DFDD"/>
    </w:rPr>
  </w:style>
  <w:style w:type="character" w:customStyle="1" w:styleId="Heading8Char">
    <w:name w:val="Heading 8 Char"/>
    <w:link w:val="Heading8"/>
    <w:uiPriority w:val="9"/>
    <w:semiHidden/>
    <w:qFormat/>
    <w:rPr>
      <w:rFonts w:ascii="Aptos" w:hAnsi="Aptos"/>
      <w:i/>
      <w:iCs/>
      <w:color w:val="272727"/>
      <w:kern w:val="2"/>
      <w:sz w:val="24"/>
      <w:szCs w:val="24"/>
    </w:rPr>
  </w:style>
  <w:style w:type="character" w:customStyle="1" w:styleId="Heading9Char">
    <w:name w:val="Heading 9 Char"/>
    <w:link w:val="Heading9"/>
    <w:uiPriority w:val="9"/>
    <w:semiHidden/>
    <w:qFormat/>
    <w:rPr>
      <w:rFonts w:ascii="Aptos" w:hAnsi="Aptos"/>
      <w:color w:val="272727"/>
      <w:kern w:val="2"/>
      <w:sz w:val="24"/>
      <w:szCs w:val="24"/>
    </w:rPr>
  </w:style>
  <w:style w:type="character" w:customStyle="1" w:styleId="TitleChar">
    <w:name w:val="Title Char"/>
    <w:link w:val="Title"/>
    <w:uiPriority w:val="10"/>
    <w:qFormat/>
    <w:rPr>
      <w:rFonts w:ascii="Aptos Display" w:hAnsi="Aptos Display"/>
      <w:spacing w:val="-10"/>
      <w:kern w:val="2"/>
      <w:sz w:val="56"/>
      <w:szCs w:val="56"/>
    </w:rPr>
  </w:style>
  <w:style w:type="character" w:customStyle="1" w:styleId="SubtitleChar">
    <w:name w:val="Subtitle Char"/>
    <w:link w:val="Subtitle"/>
    <w:uiPriority w:val="11"/>
    <w:qFormat/>
    <w:rPr>
      <w:rFonts w:ascii="Aptos" w:hAnsi="Aptos"/>
      <w:color w:val="595959"/>
      <w:spacing w:val="15"/>
      <w:kern w:val="2"/>
      <w:sz w:val="28"/>
      <w:szCs w:val="28"/>
    </w:rPr>
  </w:style>
  <w:style w:type="character" w:customStyle="1" w:styleId="QuoteChar">
    <w:name w:val="Quote Char"/>
    <w:link w:val="Quote"/>
    <w:uiPriority w:val="29"/>
    <w:qFormat/>
    <w:rPr>
      <w:rFonts w:ascii="Aptos" w:eastAsia="Aptos" w:hAnsi="Aptos"/>
      <w:i/>
      <w:iCs/>
      <w:color w:val="404040"/>
      <w:kern w:val="2"/>
      <w:sz w:val="24"/>
      <w:szCs w:val="24"/>
    </w:rPr>
  </w:style>
  <w:style w:type="paragraph" w:styleId="Quote">
    <w:name w:val="Quote"/>
    <w:basedOn w:val="Normal"/>
    <w:next w:val="Normal"/>
    <w:link w:val="QuoteChar"/>
    <w:uiPriority w:val="29"/>
    <w:qFormat/>
    <w:pPr>
      <w:spacing w:before="160" w:after="160" w:line="278" w:lineRule="auto"/>
      <w:ind w:firstLine="0"/>
      <w:jc w:val="center"/>
    </w:pPr>
    <w:rPr>
      <w:rFonts w:ascii="Aptos" w:eastAsia="Aptos" w:hAnsi="Aptos"/>
      <w:i/>
      <w:iCs/>
      <w:color w:val="404040"/>
      <w:kern w:val="2"/>
      <w:sz w:val="24"/>
      <w:szCs w:val="24"/>
    </w:rPr>
  </w:style>
  <w:style w:type="character" w:customStyle="1" w:styleId="IntenseEmphasis1">
    <w:name w:val="Intense Emphasis1"/>
    <w:uiPriority w:val="21"/>
    <w:qFormat/>
    <w:rPr>
      <w:i/>
      <w:iCs/>
      <w:color w:val="0F4761"/>
    </w:rPr>
  </w:style>
  <w:style w:type="character" w:customStyle="1" w:styleId="IntenseQuoteChar">
    <w:name w:val="Intense Quote Char"/>
    <w:link w:val="IntenseQuote"/>
    <w:uiPriority w:val="30"/>
    <w:qFormat/>
    <w:rPr>
      <w:rFonts w:ascii="Aptos" w:eastAsia="Aptos" w:hAnsi="Aptos"/>
      <w:i/>
      <w:iCs/>
      <w:color w:val="0F4761"/>
      <w:kern w:val="2"/>
      <w:sz w:val="24"/>
      <w:szCs w:val="24"/>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line="278" w:lineRule="auto"/>
      <w:ind w:left="864" w:right="864" w:firstLine="0"/>
      <w:jc w:val="center"/>
    </w:pPr>
    <w:rPr>
      <w:rFonts w:ascii="Aptos" w:eastAsia="Aptos" w:hAnsi="Aptos"/>
      <w:i/>
      <w:iCs/>
      <w:color w:val="0F4761"/>
      <w:kern w:val="2"/>
      <w:sz w:val="24"/>
      <w:szCs w:val="24"/>
    </w:rPr>
  </w:style>
  <w:style w:type="character" w:customStyle="1" w:styleId="IntenseReference1">
    <w:name w:val="Intense Reference1"/>
    <w:uiPriority w:val="32"/>
    <w:qFormat/>
    <w:rPr>
      <w:b/>
      <w:bCs/>
      <w:smallCaps/>
      <w:color w:val="0F4761"/>
      <w:spacing w:val="5"/>
    </w:rPr>
  </w:style>
  <w:style w:type="character" w:customStyle="1" w:styleId="BalloonTextChar">
    <w:name w:val="Balloon Text Char"/>
    <w:basedOn w:val="DefaultParagraphFont"/>
    <w:link w:val="BalloonText"/>
    <w:uiPriority w:val="99"/>
    <w:semiHidden/>
    <w:qFormat/>
    <w:rPr>
      <w:rFonts w:ascii="Tahoma" w:hAnsi="Tahoma" w:cs="Tahoma"/>
      <w:color w:val="000000"/>
      <w:sz w:val="16"/>
      <w:szCs w:val="16"/>
    </w:rPr>
  </w:style>
  <w:style w:type="character" w:customStyle="1" w:styleId="HeaderChar">
    <w:name w:val="Header Char"/>
    <w:basedOn w:val="DefaultParagraphFont"/>
    <w:link w:val="Header"/>
    <w:uiPriority w:val="99"/>
    <w:qFormat/>
    <w:rPr>
      <w:rFonts w:ascii="Times New Roman" w:hAnsi="Times New Roman"/>
      <w:color w:val="000000"/>
      <w:sz w:val="28"/>
      <w:szCs w:val="22"/>
    </w:rPr>
  </w:style>
  <w:style w:type="character" w:customStyle="1" w:styleId="UnresolvedMention">
    <w:name w:val="Unresolved Mention"/>
    <w:basedOn w:val="DefaultParagraphFont"/>
    <w:uiPriority w:val="99"/>
    <w:semiHidden/>
    <w:unhideWhenUsed/>
    <w:qFormat/>
    <w:rPr>
      <w:color w:val="605E5C"/>
      <w:shd w:val="clear" w:color="auto" w:fill="E1DFDD"/>
    </w:rPr>
  </w:style>
  <w:style w:type="character" w:customStyle="1" w:styleId="IndexLink">
    <w:name w:val="Index Link"/>
    <w:qFormat/>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customStyle="1" w:styleId="TOCHeading1">
    <w:name w:val="TOC Heading1"/>
    <w:basedOn w:val="Heading1"/>
    <w:next w:val="Normal"/>
    <w:uiPriority w:val="39"/>
    <w:unhideWhenUsed/>
    <w:qFormat/>
    <w:pPr>
      <w:spacing w:before="240" w:line="259" w:lineRule="auto"/>
      <w:ind w:firstLine="0"/>
      <w:jc w:val="left"/>
      <w:outlineLvl w:val="9"/>
    </w:pPr>
    <w:rPr>
      <w:rFonts w:ascii="Aptos Display" w:hAnsi="Aptos Display"/>
      <w:b w:val="0"/>
      <w:caps w:val="0"/>
      <w:color w:val="0F4761"/>
      <w:sz w:val="32"/>
      <w:szCs w:val="32"/>
    </w:rPr>
  </w:style>
  <w:style w:type="paragraph" w:styleId="ListParagraph">
    <w:name w:val="List Paragraph"/>
    <w:basedOn w:val="Normal"/>
    <w:uiPriority w:val="34"/>
    <w:qFormat/>
    <w:pPr>
      <w:ind w:left="720"/>
      <w:contextualSpacing/>
    </w:pPr>
  </w:style>
  <w:style w:type="paragraph" w:customStyle="1" w:styleId="FrameContents">
    <w:name w:val="Frame Contents"/>
    <w:basedOn w:val="Normal"/>
    <w:qFormat/>
  </w:style>
  <w:style w:type="table" w:customStyle="1" w:styleId="TableGrid0">
    <w:name w:val="TableGrid"/>
    <w:rPr>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4.xml"/><Relationship Id="rId18" Type="http://schemas.openxmlformats.org/officeDocument/2006/relationships/image" Target="media/image2.png"/><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hyperlink" Target="https://thuvienphapluat.vn/chinh-sach-phap-luat-moi/vn/ho-tro-phap-luat/chinh-sach-moi/92260/tong-quan-ve-vung-dong-nam-bo-moi-sau-sap-nhap-theo-thong-bao-417-tb-vpcp"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dantri.com.vn/kinh-doanh/tai-chinh.ht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5.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majorFont>
      <a:minorFont>
        <a:latin typeface="Aptos"/>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6047D3-60E8-4B57-A590-5F6DC89BB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178</Pages>
  <Words>48970</Words>
  <Characters>279131</Characters>
  <Application>Microsoft Office Word</Application>
  <DocSecurity>0</DocSecurity>
  <Lines>2326</Lines>
  <Paragraphs>654</Paragraphs>
  <ScaleCrop>false</ScaleCrop>
  <HeadingPairs>
    <vt:vector size="2" baseType="variant">
      <vt:variant>
        <vt:lpstr>Title</vt:lpstr>
      </vt:variant>
      <vt:variant>
        <vt:i4>1</vt:i4>
      </vt:variant>
    </vt:vector>
  </HeadingPairs>
  <TitlesOfParts>
    <vt:vector size="1" baseType="lpstr">
      <vt:lpstr>Nghiên cứu các yếu tố ảnh hưởng đến quyết định mua căn hộ chung cư tại vùng Đông Nam Bộ</vt:lpstr>
    </vt:vector>
  </TitlesOfParts>
  <Company>Microsoft</Company>
  <LinksUpToDate>false</LinksUpToDate>
  <CharactersWithSpaces>327447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Nghiên cứu các yếu tố ảnh hưởng đến quyết định mua căn hộ chung cư tại vùng Đông Nam Bộ</dc:title>
  <dc:subject>Luận án tiến sĩ - bản hoàn thiện sau Quyết nghị Hội đồng</dc:subject>
  <dc:creator>Yourfriend</dc:creator>
  <cp:lastModifiedBy>VP_CAOHOC</cp:lastModifiedBy>
  <cp:revision>3</cp:revision>
  <cp:lastPrinted>2026-09-22T04:16:00Z</cp:lastPrinted>
  <dcterms:created xsi:type="dcterms:W3CDTF">2026-09-25T01:27:00Z</dcterms:created>
  <dcterms:modified xsi:type="dcterms:W3CDTF">2026-09-25T01:29:00Z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ActionId">
    <vt:lpwstr>fa92ce4d-f2e7-4ed9-8f49-5cd552d45f1a</vt:lpwstr>
  </property>
  <property fmtid="{D5CDD505-2E9C-101B-9397-08002B2CF9AE}" pid="3" name="MSIP_Label_defa4170-0d19-0005-0004-bc88714345d2_ContentBits">
    <vt:lpwstr>0</vt:lpwstr>
  </property>
  <property fmtid="{D5CDD505-2E9C-101B-9397-08002B2CF9AE}" pid="4" name="MSIP_Label_defa4170-0d19-0005-0004-bc88714345d2_Enabled">
    <vt:lpwstr>true</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etDate">
    <vt:lpwstr>2025-01-03T08:04:14Z</vt:lpwstr>
  </property>
  <property fmtid="{D5CDD505-2E9C-101B-9397-08002B2CF9AE}" pid="8" name="MSIP_Label_defa4170-0d19-0005-0004-bc88714345d2_SiteId">
    <vt:lpwstr>d473e5a3-db47-4670-8714-a8e5ac550b53</vt:lpwstr>
  </property>
  <property fmtid="{D5CDD505-2E9C-101B-9397-08002B2CF9AE}" pid="9" name="KSOTemplateDocerSaveRecord">
    <vt:lpwstr>eyJoZGlkIjoiNzUzNmFkZWRlYWIxOTA1YzM2NGQzNTFhOWNhN2JhYzMifQ==</vt:lpwstr>
  </property>
  <property fmtid="{D5CDD505-2E9C-101B-9397-08002B2CF9AE}" pid="10" name="KSOProductBuildVer">
    <vt:lpwstr>1033-12.1.0.28485</vt:lpwstr>
  </property>
  <property fmtid="{D5CDD505-2E9C-101B-9397-08002B2CF9AE}" pid="11" name="ICV">
    <vt:lpwstr>C502E2DE1E0244C0A254D5576D9F37FA_12</vt:lpwstr>
  </property>
</Properties>
</file>